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B9146" w14:textId="77777777" w:rsidR="007F5706" w:rsidRPr="00E87038" w:rsidRDefault="007F5706" w:rsidP="007F5706">
      <w:pPr>
        <w:pStyle w:val="Heading1"/>
        <w:numPr>
          <w:ilvl w:val="0"/>
          <w:numId w:val="0"/>
        </w:numPr>
      </w:pPr>
      <w:r w:rsidRPr="00E87038">
        <w:t>Part 1: Engineer’s Specification</w:t>
      </w:r>
    </w:p>
    <w:p w14:paraId="1DC0E46D" w14:textId="77777777" w:rsidR="007F5706" w:rsidRPr="00C249C9" w:rsidRDefault="007F5706" w:rsidP="007F5706">
      <w:pPr>
        <w:pStyle w:val="Heading2"/>
      </w:pPr>
      <w:r w:rsidRPr="00C249C9">
        <w:t>Overview</w:t>
      </w:r>
    </w:p>
    <w:p w14:paraId="0C07F3B5" w14:textId="77777777" w:rsidR="007F5706" w:rsidRPr="00C249C9" w:rsidRDefault="007F5706" w:rsidP="006A207E">
      <w:r w:rsidRPr="00C249C9">
        <w:t xml:space="preserve">It </w:t>
      </w:r>
      <w:r w:rsidRPr="004F4247">
        <w:t>is</w:t>
      </w:r>
      <w:r w:rsidRPr="00C249C9">
        <w:t xml:space="preserve"> the intention of ________________ (Facility Name) to install a single, facility-wide</w:t>
      </w:r>
      <w:r w:rsidR="00155293">
        <w:t xml:space="preserve"> RFID</w:t>
      </w:r>
      <w:r w:rsidRPr="00C249C9">
        <w:t xml:space="preserve"> </w:t>
      </w:r>
      <w:r w:rsidR="00F16174">
        <w:t>Wander Management System</w:t>
      </w:r>
      <w:r w:rsidR="00F30D94">
        <w:t xml:space="preserve"> </w:t>
      </w:r>
      <w:r w:rsidR="00F30D94" w:rsidRPr="00F30D94">
        <w:t>designed to be installed in facilities with residents that are suffering from wandering malady or in other circumstances where patient egress must be controlled.</w:t>
      </w:r>
      <w:r>
        <w:t xml:space="preserve"> The </w:t>
      </w:r>
      <w:r w:rsidR="00F16174">
        <w:t>Wander Management System</w:t>
      </w:r>
      <w:r>
        <w:t xml:space="preserve"> shall be capable of adding advanced features such as reporting, email notification, mobile apps, and remote clients to the </w:t>
      </w:r>
      <w:r w:rsidR="00F30D94">
        <w:t xml:space="preserve">monitoring </w:t>
      </w:r>
      <w:r>
        <w:t xml:space="preserve">system. </w:t>
      </w:r>
      <w:r w:rsidRPr="00C249C9">
        <w:t>This s</w:t>
      </w:r>
      <w:r>
        <w:t xml:space="preserve">ystem shall be a single network </w:t>
      </w:r>
      <w:r w:rsidRPr="00C249C9">
        <w:t>of up to</w:t>
      </w:r>
      <w:r>
        <w:t xml:space="preserve"> </w:t>
      </w:r>
      <w:r w:rsidR="000053CA">
        <w:t>thirty</w:t>
      </w:r>
      <w:r>
        <w:t xml:space="preserve"> (</w:t>
      </w:r>
      <w:r w:rsidR="000053CA">
        <w:t>3</w:t>
      </w:r>
      <w:r>
        <w:t xml:space="preserve">0) </w:t>
      </w:r>
      <w:r w:rsidR="006A207E">
        <w:t>d</w:t>
      </w:r>
      <w:r w:rsidR="00CF2704">
        <w:t>oor controllers</w:t>
      </w:r>
      <w:r>
        <w:t xml:space="preserve"> capable of</w:t>
      </w:r>
      <w:r w:rsidRPr="00C249C9">
        <w:t xml:space="preserve"> </w:t>
      </w:r>
      <w:r w:rsidR="00CF2704">
        <w:t>monitoring</w:t>
      </w:r>
      <w:r>
        <w:t xml:space="preserve"> </w:t>
      </w:r>
      <w:r w:rsidRPr="00C249C9">
        <w:t xml:space="preserve">up to </w:t>
      </w:r>
      <w:r w:rsidR="00CF2704">
        <w:t>254 tags</w:t>
      </w:r>
      <w:r>
        <w:t>.</w:t>
      </w:r>
    </w:p>
    <w:p w14:paraId="281D0C85" w14:textId="77777777" w:rsidR="007F5706" w:rsidRPr="006A207E" w:rsidRDefault="007F5706" w:rsidP="006A207E">
      <w:pPr>
        <w:pStyle w:val="Heading2"/>
      </w:pPr>
      <w:r w:rsidRPr="006A207E">
        <w:t>Section Includes</w:t>
      </w:r>
    </w:p>
    <w:p w14:paraId="7D7612C5" w14:textId="77777777" w:rsidR="007F5706" w:rsidRDefault="007F5706" w:rsidP="007F5706">
      <w:r>
        <w:t xml:space="preserve">The </w:t>
      </w:r>
      <w:r w:rsidR="00F16174">
        <w:t>Wander Management System</w:t>
      </w:r>
      <w:r w:rsidRPr="00B86DCB">
        <w:t xml:space="preserve"> </w:t>
      </w:r>
      <w:r>
        <w:t xml:space="preserve">is to be installed initially on floor(s) __________ and then expanded in the future to the remaining units. </w:t>
      </w:r>
    </w:p>
    <w:p w14:paraId="35BB0235" w14:textId="77777777" w:rsidR="007F5706" w:rsidRPr="00C249C9" w:rsidRDefault="007F5706" w:rsidP="007F5706">
      <w:pPr>
        <w:pStyle w:val="Heading2"/>
      </w:pPr>
      <w:r w:rsidRPr="007F5706">
        <w:t>References</w:t>
      </w:r>
    </w:p>
    <w:p w14:paraId="625081CB" w14:textId="77777777" w:rsidR="007F5706" w:rsidRDefault="007F5706" w:rsidP="00590874">
      <w:pPr>
        <w:pStyle w:val="Bullets"/>
        <w:numPr>
          <w:ilvl w:val="0"/>
          <w:numId w:val="0"/>
        </w:numPr>
        <w:ind w:left="360"/>
      </w:pPr>
      <w:r>
        <w:t>FCC CFR 47, Part 15</w:t>
      </w:r>
    </w:p>
    <w:p w14:paraId="45904115" w14:textId="77777777" w:rsidR="007F5706" w:rsidRPr="00B86DCB" w:rsidRDefault="007F5706" w:rsidP="00590874">
      <w:pPr>
        <w:pStyle w:val="Bullets"/>
        <w:numPr>
          <w:ilvl w:val="0"/>
          <w:numId w:val="0"/>
        </w:numPr>
        <w:ind w:left="360"/>
      </w:pPr>
      <w:r>
        <w:t xml:space="preserve">Underwriters Laboratories standard </w:t>
      </w:r>
      <w:r w:rsidRPr="00EB53BF">
        <w:t>UL</w:t>
      </w:r>
      <w:r w:rsidR="00CF2704" w:rsidRPr="00EB53BF">
        <w:rPr>
          <w:vertAlign w:val="superscript"/>
        </w:rPr>
        <w:t>®</w:t>
      </w:r>
      <w:r w:rsidRPr="00EB53BF">
        <w:t xml:space="preserve"> </w:t>
      </w:r>
      <w:r w:rsidR="00CF2704" w:rsidRPr="00EB53BF">
        <w:t>294</w:t>
      </w:r>
    </w:p>
    <w:p w14:paraId="4A1D9187" w14:textId="77777777" w:rsidR="007F5706" w:rsidRPr="009F1085" w:rsidRDefault="007F5706" w:rsidP="00590874">
      <w:pPr>
        <w:pStyle w:val="Bullets"/>
        <w:numPr>
          <w:ilvl w:val="0"/>
          <w:numId w:val="0"/>
        </w:numPr>
        <w:ind w:left="360"/>
        <w:rPr>
          <w:lang w:val="fr-FR"/>
        </w:rPr>
      </w:pPr>
      <w:r w:rsidRPr="009F1085">
        <w:rPr>
          <w:lang w:val="fr-FR"/>
        </w:rPr>
        <w:t xml:space="preserve">National </w:t>
      </w:r>
      <w:proofErr w:type="spellStart"/>
      <w:r>
        <w:rPr>
          <w:lang w:val="fr-FR"/>
        </w:rPr>
        <w:t>E</w:t>
      </w:r>
      <w:r w:rsidRPr="00D0744E">
        <w:rPr>
          <w:lang w:val="fr-FR"/>
        </w:rPr>
        <w:t>lectrical</w:t>
      </w:r>
      <w:proofErr w:type="spellEnd"/>
      <w:r w:rsidRPr="00D0744E">
        <w:rPr>
          <w:lang w:val="fr-FR"/>
        </w:rPr>
        <w:t xml:space="preserve"> </w:t>
      </w:r>
      <w:r w:rsidRPr="009F1085">
        <w:rPr>
          <w:lang w:val="fr-FR"/>
        </w:rPr>
        <w:t>Code, ANSI/NFPA 70</w:t>
      </w:r>
    </w:p>
    <w:p w14:paraId="6B64CC25" w14:textId="77777777" w:rsidR="007F5706" w:rsidRDefault="007F5706" w:rsidP="00590874">
      <w:pPr>
        <w:pStyle w:val="Bullets"/>
        <w:numPr>
          <w:ilvl w:val="0"/>
          <w:numId w:val="0"/>
        </w:numPr>
        <w:ind w:left="360"/>
      </w:pPr>
      <w:r>
        <w:t>H</w:t>
      </w:r>
      <w:r w:rsidRPr="00B86DCB">
        <w:t>ealth Care Facilities, ANSI/NFPA 99</w:t>
      </w:r>
      <w:r>
        <w:t xml:space="preserve"> </w:t>
      </w:r>
    </w:p>
    <w:p w14:paraId="14F89B0F" w14:textId="77777777" w:rsidR="007F5706" w:rsidRDefault="007F5706" w:rsidP="00590874">
      <w:pPr>
        <w:pStyle w:val="Bullets"/>
        <w:numPr>
          <w:ilvl w:val="0"/>
          <w:numId w:val="0"/>
        </w:numPr>
        <w:ind w:left="360"/>
      </w:pPr>
      <w:r>
        <w:t xml:space="preserve">U.S. Dept. of Labor / Occupational Safety and Health Administration </w:t>
      </w:r>
    </w:p>
    <w:p w14:paraId="20614C6B" w14:textId="77777777" w:rsidR="007F5706" w:rsidRPr="00C249C9" w:rsidRDefault="007F5706" w:rsidP="007F5706">
      <w:pPr>
        <w:pStyle w:val="Heading2"/>
      </w:pPr>
      <w:r w:rsidRPr="007F5706">
        <w:t>Qualifications</w:t>
      </w:r>
    </w:p>
    <w:p w14:paraId="4FBD60AA" w14:textId="77777777" w:rsidR="007F5706" w:rsidRDefault="007F5706" w:rsidP="00F16174">
      <w:pPr>
        <w:pStyle w:val="Bullets"/>
        <w:numPr>
          <w:ilvl w:val="0"/>
          <w:numId w:val="0"/>
        </w:numPr>
        <w:ind w:left="360"/>
      </w:pPr>
      <w:r>
        <w:t>Applicable state licenses.</w:t>
      </w:r>
    </w:p>
    <w:p w14:paraId="2F3231A6" w14:textId="77777777" w:rsidR="007F5706" w:rsidRPr="006D621A" w:rsidRDefault="007F5706" w:rsidP="007F5706">
      <w:pPr>
        <w:pStyle w:val="Heading2"/>
      </w:pPr>
      <w:r w:rsidRPr="006D621A">
        <w:t xml:space="preserve">System </w:t>
      </w:r>
      <w:r w:rsidRPr="007F5706">
        <w:t>Description</w:t>
      </w:r>
    </w:p>
    <w:p w14:paraId="33A7899E" w14:textId="77777777" w:rsidR="007F5706" w:rsidRPr="00E70394" w:rsidRDefault="007F5706" w:rsidP="007F5706">
      <w:r w:rsidRPr="00E70394">
        <w:t xml:space="preserve">System hardware shall be </w:t>
      </w:r>
      <w:r w:rsidR="00E70394">
        <w:t>provided</w:t>
      </w:r>
      <w:r w:rsidRPr="00E70394">
        <w:t xml:space="preserve"> by an ISO 9001 certified company that has been in business for at least 40 years. Equipment </w:t>
      </w:r>
      <w:r w:rsidR="00E70394">
        <w:t>provided</w:t>
      </w:r>
      <w:r w:rsidRPr="00E70394">
        <w:t xml:space="preserve"> by companies that are not ISO 9001 or without a minimum of </w:t>
      </w:r>
      <w:r w:rsidR="00F16174">
        <w:t>40</w:t>
      </w:r>
      <w:r w:rsidRPr="00E70394">
        <w:t xml:space="preserve"> years of manufacturing experience shall not be acceptable. </w:t>
      </w:r>
    </w:p>
    <w:p w14:paraId="3D5743D9" w14:textId="77777777" w:rsidR="006E32D4" w:rsidRDefault="007F5706" w:rsidP="007F5706">
      <w:r w:rsidRPr="006D621A">
        <w:t xml:space="preserve">The </w:t>
      </w:r>
      <w:r w:rsidR="00D45140">
        <w:t xml:space="preserve">system shall be based on the following </w:t>
      </w:r>
      <w:r w:rsidRPr="006D621A">
        <w:t>hardware</w:t>
      </w:r>
      <w:r w:rsidR="00D45140">
        <w:t xml:space="preserve"> and </w:t>
      </w:r>
      <w:r w:rsidRPr="006D621A">
        <w:t>consist of</w:t>
      </w:r>
      <w:r w:rsidR="006E32D4">
        <w:t>;</w:t>
      </w:r>
    </w:p>
    <w:p w14:paraId="57D2A051" w14:textId="77777777" w:rsidR="007F5706" w:rsidRPr="006D621A" w:rsidRDefault="006E32D4" w:rsidP="006E32D4">
      <w:pPr>
        <w:ind w:firstLine="360"/>
      </w:pPr>
      <w:r>
        <w:t>U</w:t>
      </w:r>
      <w:r w:rsidR="007F5706">
        <w:t xml:space="preserve">p to </w:t>
      </w:r>
      <w:r w:rsidR="00CF4392">
        <w:t>Thirty</w:t>
      </w:r>
      <w:r w:rsidR="007F5706">
        <w:t xml:space="preserve"> (</w:t>
      </w:r>
      <w:r>
        <w:t>30</w:t>
      </w:r>
      <w:r w:rsidR="007F5706">
        <w:t xml:space="preserve">) </w:t>
      </w:r>
      <w:r>
        <w:t>Door Controllers</w:t>
      </w:r>
      <w:r w:rsidR="007F5706">
        <w:tab/>
      </w:r>
    </w:p>
    <w:p w14:paraId="465D1E04" w14:textId="77777777" w:rsidR="007F5706" w:rsidRDefault="007F5706" w:rsidP="00E70394">
      <w:pPr>
        <w:spacing w:after="0" w:line="240" w:lineRule="auto"/>
      </w:pPr>
      <w:r w:rsidRPr="006D621A">
        <w:rPr>
          <w:i/>
        </w:rPr>
        <w:tab/>
      </w:r>
      <w:r w:rsidRPr="006D621A">
        <w:rPr>
          <w:i/>
        </w:rPr>
        <w:tab/>
      </w:r>
      <w:r w:rsidR="006E32D4">
        <w:rPr>
          <w:i/>
        </w:rPr>
        <w:t>NC702</w:t>
      </w:r>
      <w:r>
        <w:rPr>
          <w:i/>
        </w:rPr>
        <w:t xml:space="preserve"> </w:t>
      </w:r>
      <w:r w:rsidR="006E32D4">
        <w:t>Door Controller</w:t>
      </w:r>
    </w:p>
    <w:p w14:paraId="7D554A14" w14:textId="77777777" w:rsidR="00E70394" w:rsidRDefault="00E70394" w:rsidP="00E70394">
      <w:pPr>
        <w:spacing w:after="0" w:line="240" w:lineRule="auto"/>
        <w:ind w:left="720"/>
      </w:pPr>
      <w:r>
        <w:rPr>
          <w:i/>
        </w:rPr>
        <w:tab/>
        <w:t xml:space="preserve">PK701 or PK702 </w:t>
      </w:r>
      <w:r w:rsidRPr="00B55D27">
        <w:t>Transformer</w:t>
      </w:r>
    </w:p>
    <w:p w14:paraId="4C07DE2C" w14:textId="77777777" w:rsidR="00E70394" w:rsidRDefault="00E70394" w:rsidP="00E70394">
      <w:pPr>
        <w:spacing w:after="0" w:line="240" w:lineRule="auto"/>
        <w:ind w:left="720"/>
      </w:pPr>
    </w:p>
    <w:p w14:paraId="64E31007" w14:textId="77777777" w:rsidR="007F5706" w:rsidRDefault="007F5706" w:rsidP="006E32D4">
      <w:pPr>
        <w:ind w:firstLine="360"/>
      </w:pPr>
      <w:r>
        <w:t xml:space="preserve">Up to </w:t>
      </w:r>
      <w:r w:rsidR="006E32D4">
        <w:t xml:space="preserve">254 </w:t>
      </w:r>
      <w:r w:rsidR="00CF4392">
        <w:t xml:space="preserve">monitoring </w:t>
      </w:r>
      <w:r w:rsidR="006E32D4">
        <w:t>tags</w:t>
      </w:r>
    </w:p>
    <w:p w14:paraId="75EAD8C5" w14:textId="77777777" w:rsidR="007F5706" w:rsidRDefault="007F5706" w:rsidP="006E32D4">
      <w:pPr>
        <w:spacing w:after="0" w:line="240" w:lineRule="auto"/>
      </w:pPr>
      <w:r>
        <w:tab/>
      </w:r>
      <w:r>
        <w:tab/>
      </w:r>
      <w:r w:rsidR="006E32D4">
        <w:rPr>
          <w:i/>
        </w:rPr>
        <w:t>SF701</w:t>
      </w:r>
      <w:r>
        <w:rPr>
          <w:i/>
        </w:rPr>
        <w:t xml:space="preserve"> </w:t>
      </w:r>
      <w:r w:rsidR="006E32D4">
        <w:t xml:space="preserve">Resident Tag </w:t>
      </w:r>
      <w:r w:rsidR="002B32D1">
        <w:t>and/</w:t>
      </w:r>
      <w:r w:rsidR="006E32D4">
        <w:t>or,</w:t>
      </w:r>
    </w:p>
    <w:p w14:paraId="4D8B03EA" w14:textId="77777777" w:rsidR="006E32D4" w:rsidRDefault="006E32D4" w:rsidP="00CF4392">
      <w:pPr>
        <w:spacing w:after="0" w:line="240" w:lineRule="auto"/>
      </w:pPr>
      <w:r>
        <w:rPr>
          <w:i/>
        </w:rPr>
        <w:tab/>
      </w:r>
      <w:r>
        <w:rPr>
          <w:i/>
        </w:rPr>
        <w:tab/>
        <w:t>SF702</w:t>
      </w:r>
      <w:r w:rsidRPr="006E32D4">
        <w:t xml:space="preserve"> </w:t>
      </w:r>
      <w:r>
        <w:t>Asset Tag</w:t>
      </w:r>
    </w:p>
    <w:p w14:paraId="6921F5B5" w14:textId="77777777" w:rsidR="006E32D4" w:rsidRPr="006F1D21" w:rsidRDefault="006E32D4" w:rsidP="00CF4392">
      <w:pPr>
        <w:spacing w:after="0" w:line="240" w:lineRule="auto"/>
      </w:pPr>
    </w:p>
    <w:p w14:paraId="56DC0874" w14:textId="77777777" w:rsidR="0018508C" w:rsidRPr="006D621A" w:rsidRDefault="0018508C" w:rsidP="0018508C">
      <w:pPr>
        <w:spacing w:after="0" w:line="240" w:lineRule="auto"/>
        <w:ind w:left="720"/>
      </w:pPr>
      <w:r>
        <w:lastRenderedPageBreak/>
        <w:t xml:space="preserve">Tag Activator and Deactivator per </w:t>
      </w:r>
      <w:r w:rsidR="00F16174">
        <w:t>system</w:t>
      </w:r>
      <w:r>
        <w:t>:</w:t>
      </w:r>
    </w:p>
    <w:p w14:paraId="523D32F7" w14:textId="77777777" w:rsidR="0018508C" w:rsidRDefault="0018508C" w:rsidP="0018508C">
      <w:pPr>
        <w:spacing w:after="0" w:line="240" w:lineRule="auto"/>
        <w:ind w:left="720"/>
      </w:pPr>
      <w:r w:rsidRPr="006D621A">
        <w:rPr>
          <w:i/>
        </w:rPr>
        <w:tab/>
      </w:r>
      <w:r w:rsidRPr="006D621A">
        <w:rPr>
          <w:i/>
        </w:rPr>
        <w:tab/>
      </w:r>
      <w:r>
        <w:rPr>
          <w:i/>
        </w:rPr>
        <w:t xml:space="preserve">NC710 </w:t>
      </w:r>
      <w:r>
        <w:t xml:space="preserve">Secure Tag </w:t>
      </w:r>
      <w:r w:rsidR="00E4613C">
        <w:t>Activator</w:t>
      </w:r>
    </w:p>
    <w:p w14:paraId="10D90BFE" w14:textId="77777777" w:rsidR="0018508C" w:rsidRDefault="0018508C" w:rsidP="00CF4392">
      <w:pPr>
        <w:spacing w:after="0" w:line="240" w:lineRule="auto"/>
        <w:ind w:left="720"/>
      </w:pPr>
    </w:p>
    <w:p w14:paraId="71ADD614" w14:textId="77777777" w:rsidR="007F5706" w:rsidRPr="006D621A" w:rsidRDefault="00CF4392" w:rsidP="00CF4392">
      <w:pPr>
        <w:spacing w:after="0" w:line="240" w:lineRule="auto"/>
        <w:ind w:left="720"/>
      </w:pPr>
      <w:r>
        <w:t>Keypad per</w:t>
      </w:r>
      <w:r w:rsidR="007F5706">
        <w:t xml:space="preserve"> controller:</w:t>
      </w:r>
    </w:p>
    <w:p w14:paraId="34FAB00F" w14:textId="77777777" w:rsidR="007F5706" w:rsidRDefault="007F5706" w:rsidP="00CF4392">
      <w:pPr>
        <w:spacing w:after="0" w:line="240" w:lineRule="auto"/>
        <w:ind w:left="720"/>
      </w:pPr>
      <w:r w:rsidRPr="006D621A">
        <w:rPr>
          <w:i/>
        </w:rPr>
        <w:tab/>
      </w:r>
      <w:r w:rsidRPr="006D621A">
        <w:rPr>
          <w:i/>
        </w:rPr>
        <w:tab/>
      </w:r>
      <w:r w:rsidR="00CF4392">
        <w:rPr>
          <w:i/>
        </w:rPr>
        <w:t>NC703</w:t>
      </w:r>
      <w:r>
        <w:rPr>
          <w:i/>
        </w:rPr>
        <w:t xml:space="preserve"> </w:t>
      </w:r>
      <w:r w:rsidR="00CF4392">
        <w:t>Indoor keypad and/or</w:t>
      </w:r>
    </w:p>
    <w:p w14:paraId="1040ED6B" w14:textId="77777777" w:rsidR="007F5706" w:rsidRDefault="007F5706" w:rsidP="00CF4392">
      <w:pPr>
        <w:spacing w:after="0" w:line="240" w:lineRule="auto"/>
        <w:ind w:left="720"/>
      </w:pPr>
      <w:r>
        <w:rPr>
          <w:i/>
        </w:rPr>
        <w:tab/>
      </w:r>
      <w:r>
        <w:rPr>
          <w:i/>
        </w:rPr>
        <w:tab/>
      </w:r>
      <w:r w:rsidR="00CF4392">
        <w:rPr>
          <w:i/>
        </w:rPr>
        <w:t>NC707</w:t>
      </w:r>
      <w:r>
        <w:rPr>
          <w:i/>
        </w:rPr>
        <w:t xml:space="preserve"> </w:t>
      </w:r>
      <w:r w:rsidR="00CF4392">
        <w:t>Outdoor keypad</w:t>
      </w:r>
    </w:p>
    <w:p w14:paraId="25E0DDAA" w14:textId="77777777" w:rsidR="00CF4392" w:rsidRDefault="00CF4392" w:rsidP="00CF4392">
      <w:pPr>
        <w:spacing w:after="0" w:line="240" w:lineRule="auto"/>
        <w:ind w:left="720"/>
      </w:pPr>
      <w:r>
        <w:tab/>
        <w:t>and/or</w:t>
      </w:r>
    </w:p>
    <w:p w14:paraId="3EA49AA6" w14:textId="77777777" w:rsidR="00CF4392" w:rsidRPr="00891791" w:rsidRDefault="00CF4392" w:rsidP="00CF4392">
      <w:pPr>
        <w:spacing w:after="0" w:line="240" w:lineRule="auto"/>
        <w:ind w:left="720"/>
      </w:pPr>
    </w:p>
    <w:p w14:paraId="4BCDAE9E" w14:textId="77777777" w:rsidR="00CF4392" w:rsidRPr="006D621A" w:rsidRDefault="00CF4392" w:rsidP="00CF4392">
      <w:pPr>
        <w:spacing w:after="0" w:line="240" w:lineRule="auto"/>
        <w:ind w:left="720"/>
      </w:pPr>
      <w:r>
        <w:t>Keypad with Display per controller:</w:t>
      </w:r>
    </w:p>
    <w:p w14:paraId="2CB0B4D9" w14:textId="77777777" w:rsidR="00CF4392" w:rsidRDefault="00CF4392" w:rsidP="00CF4392">
      <w:pPr>
        <w:spacing w:after="0" w:line="240" w:lineRule="auto"/>
        <w:ind w:left="720"/>
      </w:pPr>
      <w:r w:rsidRPr="006D621A">
        <w:rPr>
          <w:i/>
        </w:rPr>
        <w:tab/>
      </w:r>
      <w:r w:rsidRPr="006D621A">
        <w:rPr>
          <w:i/>
        </w:rPr>
        <w:tab/>
      </w:r>
      <w:r>
        <w:rPr>
          <w:i/>
        </w:rPr>
        <w:t xml:space="preserve">NC709 </w:t>
      </w:r>
      <w:r>
        <w:t>keypad with display – surface mount</w:t>
      </w:r>
    </w:p>
    <w:p w14:paraId="1216AD52" w14:textId="77777777" w:rsidR="00CF4392" w:rsidRDefault="00CF4392" w:rsidP="00CF4392">
      <w:pPr>
        <w:spacing w:after="0" w:line="240" w:lineRule="auto"/>
        <w:ind w:left="720"/>
      </w:pPr>
      <w:r>
        <w:rPr>
          <w:i/>
        </w:rPr>
        <w:tab/>
      </w:r>
      <w:r>
        <w:rPr>
          <w:i/>
        </w:rPr>
        <w:tab/>
        <w:t xml:space="preserve">NC707 </w:t>
      </w:r>
      <w:r>
        <w:t>keypad with display – flush mount</w:t>
      </w:r>
    </w:p>
    <w:p w14:paraId="0B03D705" w14:textId="77777777" w:rsidR="00CF4392" w:rsidRDefault="00CF4392" w:rsidP="00CF4392">
      <w:pPr>
        <w:spacing w:after="0" w:line="240" w:lineRule="auto"/>
        <w:ind w:left="720"/>
      </w:pPr>
    </w:p>
    <w:p w14:paraId="2D5C7F15" w14:textId="77777777" w:rsidR="00CF4392" w:rsidRPr="006D621A" w:rsidRDefault="00A267C9" w:rsidP="00CF4392">
      <w:pPr>
        <w:spacing w:after="0" w:line="240" w:lineRule="auto"/>
        <w:ind w:left="720"/>
      </w:pPr>
      <w:r>
        <w:t>Magnetic Switch</w:t>
      </w:r>
      <w:r w:rsidR="00CF4392">
        <w:t>:</w:t>
      </w:r>
    </w:p>
    <w:p w14:paraId="50841F2C" w14:textId="77777777" w:rsidR="00CF4392" w:rsidRDefault="00CF4392" w:rsidP="00CF4392">
      <w:pPr>
        <w:spacing w:after="0" w:line="240" w:lineRule="auto"/>
        <w:ind w:left="720"/>
      </w:pPr>
      <w:r w:rsidRPr="006D621A">
        <w:rPr>
          <w:i/>
        </w:rPr>
        <w:tab/>
      </w:r>
      <w:r w:rsidRPr="006D621A">
        <w:rPr>
          <w:i/>
        </w:rPr>
        <w:tab/>
      </w:r>
      <w:r w:rsidR="00A267C9">
        <w:rPr>
          <w:i/>
        </w:rPr>
        <w:t>ST019A</w:t>
      </w:r>
      <w:r>
        <w:rPr>
          <w:i/>
        </w:rPr>
        <w:t xml:space="preserve"> </w:t>
      </w:r>
      <w:r w:rsidR="00A267C9">
        <w:t>Magnetic Door Contact Switch – surface mount</w:t>
      </w:r>
    </w:p>
    <w:p w14:paraId="77ACACF4" w14:textId="77777777" w:rsidR="00CF4392" w:rsidRPr="00891791" w:rsidRDefault="00CF4392" w:rsidP="00CF4392">
      <w:pPr>
        <w:spacing w:after="0" w:line="240" w:lineRule="auto"/>
        <w:ind w:left="720"/>
      </w:pPr>
    </w:p>
    <w:p w14:paraId="367401E8" w14:textId="77777777" w:rsidR="00CF4392" w:rsidRPr="006D621A" w:rsidRDefault="00A267C9" w:rsidP="00CF4392">
      <w:pPr>
        <w:spacing w:after="0" w:line="240" w:lineRule="auto"/>
        <w:ind w:left="720"/>
      </w:pPr>
      <w:r>
        <w:t>Maglock</w:t>
      </w:r>
      <w:r w:rsidR="00CF4392">
        <w:t>:</w:t>
      </w:r>
    </w:p>
    <w:p w14:paraId="1B79DF1A" w14:textId="77777777" w:rsidR="00CF4392" w:rsidRDefault="00CF4392" w:rsidP="00CF4392">
      <w:pPr>
        <w:spacing w:after="0" w:line="240" w:lineRule="auto"/>
        <w:ind w:left="720"/>
      </w:pPr>
      <w:r w:rsidRPr="006D621A">
        <w:rPr>
          <w:i/>
        </w:rPr>
        <w:tab/>
      </w:r>
      <w:r w:rsidRPr="006D621A">
        <w:rPr>
          <w:i/>
        </w:rPr>
        <w:tab/>
      </w:r>
      <w:r>
        <w:rPr>
          <w:i/>
        </w:rPr>
        <w:t>NC7</w:t>
      </w:r>
      <w:r w:rsidR="00A267C9">
        <w:rPr>
          <w:i/>
        </w:rPr>
        <w:t>04</w:t>
      </w:r>
      <w:r>
        <w:rPr>
          <w:i/>
        </w:rPr>
        <w:t xml:space="preserve"> </w:t>
      </w:r>
      <w:r w:rsidR="00A267C9" w:rsidRPr="00A267C9">
        <w:t>special design low current</w:t>
      </w:r>
      <w:r w:rsidR="00A267C9">
        <w:rPr>
          <w:i/>
        </w:rPr>
        <w:t xml:space="preserve"> </w:t>
      </w:r>
      <w:r w:rsidR="00A267C9">
        <w:t>Maglock</w:t>
      </w:r>
    </w:p>
    <w:p w14:paraId="2D70964E" w14:textId="77777777" w:rsidR="00CF4392" w:rsidRPr="00891791" w:rsidRDefault="00CF4392" w:rsidP="00CF4392">
      <w:pPr>
        <w:spacing w:after="0" w:line="240" w:lineRule="auto"/>
        <w:ind w:left="720"/>
      </w:pPr>
    </w:p>
    <w:p w14:paraId="5342E81B" w14:textId="77777777" w:rsidR="00CF4392" w:rsidRPr="006D621A" w:rsidRDefault="00A267C9" w:rsidP="00CF4392">
      <w:pPr>
        <w:spacing w:after="0" w:line="240" w:lineRule="auto"/>
        <w:ind w:left="720"/>
      </w:pPr>
      <w:r>
        <w:t xml:space="preserve">Elevator </w:t>
      </w:r>
      <w:r w:rsidR="00C44B9D">
        <w:t>Interrupt</w:t>
      </w:r>
      <w:r w:rsidR="00CF4392">
        <w:t>:</w:t>
      </w:r>
    </w:p>
    <w:p w14:paraId="48CF2F5F" w14:textId="77777777" w:rsidR="00CF4392" w:rsidRDefault="00CF4392" w:rsidP="00CF4392">
      <w:pPr>
        <w:spacing w:after="0" w:line="240" w:lineRule="auto"/>
        <w:ind w:left="720"/>
      </w:pPr>
      <w:r w:rsidRPr="006D621A">
        <w:rPr>
          <w:i/>
        </w:rPr>
        <w:tab/>
      </w:r>
      <w:r w:rsidRPr="006D621A">
        <w:rPr>
          <w:i/>
        </w:rPr>
        <w:tab/>
      </w:r>
      <w:r>
        <w:rPr>
          <w:i/>
        </w:rPr>
        <w:t>NC70</w:t>
      </w:r>
      <w:r w:rsidR="00C44B9D">
        <w:rPr>
          <w:i/>
        </w:rPr>
        <w:t>5</w:t>
      </w:r>
      <w:r>
        <w:rPr>
          <w:i/>
        </w:rPr>
        <w:t xml:space="preserve"> </w:t>
      </w:r>
      <w:r w:rsidR="00C44B9D">
        <w:t>Elevator Deactivation Panel</w:t>
      </w:r>
    </w:p>
    <w:p w14:paraId="4F592800" w14:textId="77777777" w:rsidR="00B55D27" w:rsidRDefault="00B55D27" w:rsidP="00CF4392">
      <w:pPr>
        <w:spacing w:after="0" w:line="240" w:lineRule="auto"/>
        <w:ind w:left="720"/>
      </w:pPr>
      <w:r>
        <w:rPr>
          <w:i/>
        </w:rPr>
        <w:tab/>
      </w:r>
      <w:r>
        <w:rPr>
          <w:i/>
        </w:rPr>
        <w:tab/>
        <w:t xml:space="preserve">PK505 </w:t>
      </w:r>
      <w:r w:rsidRPr="00B55D27">
        <w:t>Transformer</w:t>
      </w:r>
    </w:p>
    <w:p w14:paraId="2A6075B2" w14:textId="77777777" w:rsidR="00A267C9" w:rsidRDefault="00A267C9" w:rsidP="00CF4392">
      <w:pPr>
        <w:spacing w:after="0" w:line="240" w:lineRule="auto"/>
        <w:ind w:left="720"/>
      </w:pPr>
    </w:p>
    <w:p w14:paraId="51900481" w14:textId="77777777" w:rsidR="00A267C9" w:rsidRPr="006D621A" w:rsidRDefault="00C44B9D" w:rsidP="00A267C9">
      <w:pPr>
        <w:spacing w:after="0" w:line="240" w:lineRule="auto"/>
        <w:ind w:left="720"/>
      </w:pPr>
      <w:r>
        <w:t>Fire Panel Interface</w:t>
      </w:r>
      <w:r w:rsidR="00A267C9">
        <w:t>:</w:t>
      </w:r>
    </w:p>
    <w:p w14:paraId="1D09B6B6" w14:textId="77777777" w:rsidR="00A267C9" w:rsidRDefault="00A267C9" w:rsidP="00A267C9">
      <w:pPr>
        <w:spacing w:after="0" w:line="240" w:lineRule="auto"/>
        <w:ind w:left="720"/>
      </w:pPr>
      <w:r w:rsidRPr="006D621A">
        <w:rPr>
          <w:i/>
        </w:rPr>
        <w:tab/>
      </w:r>
      <w:r w:rsidRPr="006D621A">
        <w:rPr>
          <w:i/>
        </w:rPr>
        <w:tab/>
      </w:r>
      <w:r>
        <w:rPr>
          <w:i/>
        </w:rPr>
        <w:t>NC70</w:t>
      </w:r>
      <w:r w:rsidR="00C44B9D">
        <w:rPr>
          <w:i/>
        </w:rPr>
        <w:t>6</w:t>
      </w:r>
      <w:r>
        <w:rPr>
          <w:i/>
        </w:rPr>
        <w:t xml:space="preserve"> </w:t>
      </w:r>
      <w:r w:rsidR="00C44B9D">
        <w:t>Fire Panel Interface</w:t>
      </w:r>
    </w:p>
    <w:p w14:paraId="18B32289" w14:textId="77777777" w:rsidR="00B55D27" w:rsidRDefault="00B55D27" w:rsidP="00B55D27">
      <w:pPr>
        <w:spacing w:after="0" w:line="240" w:lineRule="auto"/>
        <w:ind w:left="720"/>
      </w:pPr>
      <w:r>
        <w:rPr>
          <w:i/>
        </w:rPr>
        <w:tab/>
      </w:r>
      <w:r>
        <w:rPr>
          <w:i/>
        </w:rPr>
        <w:tab/>
        <w:t xml:space="preserve">PK505 </w:t>
      </w:r>
      <w:r w:rsidRPr="00B55D27">
        <w:t>Transformer</w:t>
      </w:r>
    </w:p>
    <w:p w14:paraId="2B40A103" w14:textId="77777777" w:rsidR="00A267C9" w:rsidRDefault="00A267C9" w:rsidP="00A267C9">
      <w:pPr>
        <w:spacing w:after="0" w:line="240" w:lineRule="auto"/>
        <w:ind w:left="720"/>
      </w:pPr>
    </w:p>
    <w:p w14:paraId="696DAF41" w14:textId="77777777" w:rsidR="00A267C9" w:rsidRPr="006D621A" w:rsidRDefault="001A28F9" w:rsidP="00A267C9">
      <w:pPr>
        <w:spacing w:after="0" w:line="240" w:lineRule="auto"/>
        <w:ind w:left="720"/>
      </w:pPr>
      <w:r>
        <w:t>Motion Detector</w:t>
      </w:r>
      <w:r w:rsidR="00A267C9">
        <w:t>:</w:t>
      </w:r>
    </w:p>
    <w:p w14:paraId="2FE92F2D" w14:textId="77777777" w:rsidR="00A267C9" w:rsidRDefault="00A267C9" w:rsidP="00A267C9">
      <w:pPr>
        <w:spacing w:after="0" w:line="240" w:lineRule="auto"/>
        <w:ind w:left="720"/>
      </w:pPr>
      <w:r w:rsidRPr="006D621A">
        <w:rPr>
          <w:i/>
        </w:rPr>
        <w:tab/>
      </w:r>
      <w:r w:rsidRPr="006D621A">
        <w:rPr>
          <w:i/>
        </w:rPr>
        <w:tab/>
      </w:r>
      <w:r w:rsidR="001A28F9">
        <w:rPr>
          <w:i/>
        </w:rPr>
        <w:t>SF</w:t>
      </w:r>
      <w:r>
        <w:rPr>
          <w:i/>
        </w:rPr>
        <w:t xml:space="preserve">703 </w:t>
      </w:r>
      <w:r w:rsidR="001A28F9">
        <w:t xml:space="preserve">PIR Motion </w:t>
      </w:r>
      <w:r w:rsidR="002F279C">
        <w:t>Detector</w:t>
      </w:r>
    </w:p>
    <w:p w14:paraId="1FC38DAB" w14:textId="77777777" w:rsidR="00A267C9" w:rsidRDefault="00A267C9" w:rsidP="00A267C9">
      <w:pPr>
        <w:spacing w:after="0" w:line="240" w:lineRule="auto"/>
        <w:ind w:left="720"/>
      </w:pPr>
    </w:p>
    <w:p w14:paraId="2C1E9511" w14:textId="77777777" w:rsidR="007703FC" w:rsidRPr="006D621A" w:rsidRDefault="007703FC" w:rsidP="007703FC">
      <w:pPr>
        <w:spacing w:after="0" w:line="240" w:lineRule="auto"/>
        <w:ind w:left="720"/>
      </w:pPr>
      <w:r>
        <w:t>Alarm Annunciator with Silence Button:</w:t>
      </w:r>
    </w:p>
    <w:p w14:paraId="2C496CA4" w14:textId="77777777" w:rsidR="007703FC" w:rsidRDefault="007703FC" w:rsidP="007703FC">
      <w:pPr>
        <w:spacing w:after="0" w:line="240" w:lineRule="auto"/>
        <w:ind w:left="720"/>
      </w:pPr>
      <w:r w:rsidRPr="006D621A">
        <w:rPr>
          <w:i/>
        </w:rPr>
        <w:tab/>
      </w:r>
      <w:r w:rsidRPr="006D621A">
        <w:rPr>
          <w:i/>
        </w:rPr>
        <w:tab/>
      </w:r>
      <w:r>
        <w:rPr>
          <w:i/>
        </w:rPr>
        <w:t xml:space="preserve">NC712 </w:t>
      </w:r>
      <w:r>
        <w:t>Alarm Annunciator – surface mount</w:t>
      </w:r>
    </w:p>
    <w:p w14:paraId="17D9A3A7" w14:textId="77777777" w:rsidR="007703FC" w:rsidRDefault="007703FC" w:rsidP="007703FC">
      <w:pPr>
        <w:spacing w:after="0" w:line="240" w:lineRule="auto"/>
        <w:ind w:left="720"/>
      </w:pPr>
      <w:r>
        <w:rPr>
          <w:i/>
        </w:rPr>
        <w:tab/>
      </w:r>
      <w:r>
        <w:rPr>
          <w:i/>
        </w:rPr>
        <w:tab/>
        <w:t xml:space="preserve">NC713 </w:t>
      </w:r>
      <w:r>
        <w:t>Alarm Annunciator – flush mount</w:t>
      </w:r>
    </w:p>
    <w:p w14:paraId="1367E981" w14:textId="77777777" w:rsidR="007703FC" w:rsidRDefault="007703FC" w:rsidP="00A267C9">
      <w:pPr>
        <w:spacing w:after="0" w:line="240" w:lineRule="auto"/>
        <w:ind w:left="720"/>
      </w:pPr>
    </w:p>
    <w:p w14:paraId="1475B74F" w14:textId="77777777" w:rsidR="00A267C9" w:rsidRPr="006D621A" w:rsidRDefault="009145CB" w:rsidP="00A267C9">
      <w:pPr>
        <w:spacing w:after="0" w:line="240" w:lineRule="auto"/>
        <w:ind w:left="720"/>
      </w:pPr>
      <w:r>
        <w:t>Tek-BRIDGE Server</w:t>
      </w:r>
      <w:r w:rsidR="00A267C9">
        <w:t>:</w:t>
      </w:r>
    </w:p>
    <w:p w14:paraId="03060315" w14:textId="77777777" w:rsidR="00A267C9" w:rsidRDefault="00A267C9" w:rsidP="00A267C9">
      <w:pPr>
        <w:spacing w:after="0" w:line="240" w:lineRule="auto"/>
        <w:ind w:left="720"/>
      </w:pPr>
      <w:r w:rsidRPr="006D621A">
        <w:rPr>
          <w:i/>
        </w:rPr>
        <w:tab/>
      </w:r>
      <w:r w:rsidRPr="006D621A">
        <w:rPr>
          <w:i/>
        </w:rPr>
        <w:tab/>
      </w:r>
      <w:r w:rsidR="009145CB">
        <w:rPr>
          <w:i/>
        </w:rPr>
        <w:t xml:space="preserve">NC474 </w:t>
      </w:r>
      <w:r w:rsidR="009145CB" w:rsidRPr="009145CB">
        <w:t>Tek-BRIDGE Server</w:t>
      </w:r>
    </w:p>
    <w:p w14:paraId="18B0E4A5" w14:textId="77777777" w:rsidR="00CF4392" w:rsidRPr="00891791" w:rsidRDefault="009145CB" w:rsidP="00CF4392">
      <w:pPr>
        <w:spacing w:after="0" w:line="240" w:lineRule="auto"/>
        <w:ind w:left="720"/>
      </w:pPr>
      <w:r w:rsidRPr="006D621A">
        <w:rPr>
          <w:i/>
        </w:rPr>
        <w:tab/>
      </w:r>
      <w:r w:rsidRPr="006D621A">
        <w:rPr>
          <w:i/>
        </w:rPr>
        <w:tab/>
      </w:r>
      <w:r>
        <w:rPr>
          <w:i/>
        </w:rPr>
        <w:t xml:space="preserve">CT701 </w:t>
      </w:r>
      <w:r w:rsidRPr="00A17426">
        <w:t>Serial to IP Converter</w:t>
      </w:r>
    </w:p>
    <w:p w14:paraId="55404145" w14:textId="77777777" w:rsidR="00CF4392" w:rsidRPr="006F1D21" w:rsidRDefault="00CF4392" w:rsidP="009145CB">
      <w:pPr>
        <w:spacing w:after="0" w:line="240" w:lineRule="auto"/>
      </w:pPr>
    </w:p>
    <w:p w14:paraId="1D14CECF" w14:textId="77777777" w:rsidR="007F5706" w:rsidRPr="006D621A" w:rsidRDefault="007F5706" w:rsidP="007F5706">
      <w:r>
        <w:t>All wiring connections shall be made in accordance with the supplied wiring diagrams. All wiring connections must use crimp-style wire connectors. Twist-on wire connectors shall not be acceptable.</w:t>
      </w:r>
    </w:p>
    <w:p w14:paraId="424E8D67" w14:textId="77777777" w:rsidR="007F5706" w:rsidRPr="006D621A" w:rsidRDefault="007F5706" w:rsidP="007F5706">
      <w:r w:rsidRPr="006D621A">
        <w:t xml:space="preserve">All necessary equipment required to meet the intent of these specifications, whether or not enumerated within these specifications, shall be supplied and installed to provide a complete and operating </w:t>
      </w:r>
      <w:r w:rsidR="00F16174">
        <w:t>Wander Management System</w:t>
      </w:r>
      <w:r w:rsidRPr="006D621A">
        <w:t>.</w:t>
      </w:r>
    </w:p>
    <w:p w14:paraId="5A9376B7" w14:textId="77777777" w:rsidR="00687A6D" w:rsidRDefault="007F5706" w:rsidP="007F5706">
      <w:r w:rsidRPr="006D621A">
        <w:t xml:space="preserve">System firmware shall be the product of a reputable </w:t>
      </w:r>
      <w:r w:rsidR="00F30D94">
        <w:t>wander management</w:t>
      </w:r>
      <w:r w:rsidRPr="006D621A">
        <w:t xml:space="preserve"> manufacturer with a proven history of product reliability and sole control over all source code. Manufacturer shall provide, free of charge, product firmware/software upgrades for a period of five years from date of installation for any product feature enhancements. </w:t>
      </w:r>
    </w:p>
    <w:p w14:paraId="663E4390" w14:textId="77777777" w:rsidR="007F5706" w:rsidRPr="00C249C9" w:rsidRDefault="007F5706" w:rsidP="007F5706">
      <w:pPr>
        <w:pStyle w:val="Heading2"/>
      </w:pPr>
      <w:r w:rsidRPr="007F5706">
        <w:t>Submittals</w:t>
      </w:r>
    </w:p>
    <w:p w14:paraId="7DB2D987" w14:textId="77777777" w:rsidR="007F5706" w:rsidRDefault="007F5706" w:rsidP="007F5706">
      <w:pPr>
        <w:pStyle w:val="BodyTextIndent1loose"/>
        <w:tabs>
          <w:tab w:val="clear" w:pos="360"/>
          <w:tab w:val="clear" w:pos="720"/>
        </w:tabs>
        <w:ind w:left="360" w:firstLine="0"/>
      </w:pPr>
      <w:r>
        <w:t>The system described by this specification is the Tek-CARE</w:t>
      </w:r>
      <w:r w:rsidRPr="006F1D21">
        <w:rPr>
          <w:vertAlign w:val="superscript"/>
        </w:rPr>
        <w:t>®</w:t>
      </w:r>
      <w:r w:rsidR="00687A6D" w:rsidRPr="00687A6D">
        <w:t>700</w:t>
      </w:r>
      <w:r>
        <w:t xml:space="preserve"> </w:t>
      </w:r>
      <w:r w:rsidR="00F16174">
        <w:t>Wander Management System</w:t>
      </w:r>
      <w:r>
        <w:t xml:space="preserve"> </w:t>
      </w:r>
      <w:r w:rsidR="00687A6D">
        <w:t>provided</w:t>
      </w:r>
      <w:r>
        <w:t xml:space="preserve"> by TekTone</w:t>
      </w:r>
      <w:r w:rsidRPr="00456243">
        <w:rPr>
          <w:vertAlign w:val="superscript"/>
        </w:rPr>
        <w:t>®</w:t>
      </w:r>
      <w:r>
        <w:t xml:space="preserve"> Sound &amp; Signal Mfg., Inc. The </w:t>
      </w:r>
      <w:r w:rsidR="00687A6D">
        <w:t>Tek-CARE</w:t>
      </w:r>
      <w:r w:rsidR="00687A6D" w:rsidRPr="00F16174">
        <w:rPr>
          <w:vertAlign w:val="superscript"/>
        </w:rPr>
        <w:t>®</w:t>
      </w:r>
      <w:r w:rsidR="00687A6D">
        <w:t>700</w:t>
      </w:r>
      <w:r>
        <w:t xml:space="preserve"> </w:t>
      </w:r>
      <w:r w:rsidR="00F16174">
        <w:t>Wander Management System</w:t>
      </w:r>
      <w:r>
        <w:t xml:space="preserve"> </w:t>
      </w:r>
      <w:r>
        <w:lastRenderedPageBreak/>
        <w:t xml:space="preserve">meets all requirements outlined in this specification. </w:t>
      </w:r>
      <w:r w:rsidR="00687A6D">
        <w:t>Tek-CARE</w:t>
      </w:r>
      <w:r w:rsidR="00687A6D" w:rsidRPr="00F16174">
        <w:rPr>
          <w:vertAlign w:val="superscript"/>
        </w:rPr>
        <w:t>®</w:t>
      </w:r>
      <w:r w:rsidR="00687A6D">
        <w:t>700</w:t>
      </w:r>
      <w:r>
        <w:t xml:space="preserve"> </w:t>
      </w:r>
      <w:r w:rsidR="00F16174">
        <w:t>Wander Management System</w:t>
      </w:r>
      <w:r>
        <w:t xml:space="preserve"> should be considered the basis for all submitted bids. </w:t>
      </w:r>
    </w:p>
    <w:p w14:paraId="515017AA" w14:textId="77777777" w:rsidR="007F5706" w:rsidRDefault="007F5706" w:rsidP="007F5706">
      <w:r>
        <w:t xml:space="preserve">Any supplying contractor proposing equipment which is not the base standard for this specification must provide full submittals at the time of bid. This option shall be exercised at the discretion of the owner/specifying authority. </w:t>
      </w:r>
    </w:p>
    <w:p w14:paraId="08A8A5E9" w14:textId="77777777" w:rsidR="007F5706" w:rsidRDefault="007F5706" w:rsidP="007F5706">
      <w:r>
        <w:t xml:space="preserve">Prior to commencement of work, the supplying contractor shall submit six (6) complete submittal sets. </w:t>
      </w:r>
      <w:r w:rsidRPr="00B031E1">
        <w:t>These sets</w:t>
      </w:r>
      <w:r>
        <w:t xml:space="preserve"> are to be submitted in three-</w:t>
      </w:r>
      <w:r w:rsidRPr="00B031E1">
        <w:t>ring binder</w:t>
      </w:r>
      <w:r>
        <w:t>s</w:t>
      </w:r>
      <w:r w:rsidRPr="00B031E1">
        <w:t>, continuous spiral binder</w:t>
      </w:r>
      <w:r>
        <w:t>s, or plastic bindings that allow</w:t>
      </w:r>
      <w:r w:rsidRPr="00B031E1">
        <w:t xml:space="preserve"> the booklet</w:t>
      </w:r>
      <w:r>
        <w:t>s</w:t>
      </w:r>
      <w:r w:rsidRPr="00B031E1">
        <w:t xml:space="preserve"> to lie flat while open. Each booklet shall consist of the following:</w:t>
      </w:r>
    </w:p>
    <w:p w14:paraId="48F18441" w14:textId="77777777" w:rsidR="007F5706" w:rsidRDefault="007F5706" w:rsidP="007F5706">
      <w:pPr>
        <w:ind w:left="2070" w:hanging="1350"/>
      </w:pPr>
      <w:r w:rsidRPr="0090154D">
        <w:rPr>
          <w:b/>
        </w:rPr>
        <w:t>Page 1:</w:t>
      </w:r>
      <w:r>
        <w:tab/>
        <w:t>Name of supplying contractor and project name.</w:t>
      </w:r>
    </w:p>
    <w:p w14:paraId="746B9CAF" w14:textId="77777777" w:rsidR="007F5706" w:rsidRDefault="007F5706" w:rsidP="007F5706">
      <w:pPr>
        <w:ind w:left="2070" w:hanging="1350"/>
      </w:pPr>
      <w:r w:rsidRPr="0090154D">
        <w:rPr>
          <w:b/>
        </w:rPr>
        <w:t>Page 2:</w:t>
      </w:r>
      <w:r>
        <w:tab/>
      </w:r>
      <w:r w:rsidRPr="00B031E1">
        <w:t xml:space="preserve">In the following order, a listing of: component quantities, equipment manufacturer, model number, and description of each component being supplied. If equipment being supplied is not the specified equipment manufacturer’s model, alongside the submitted model number and description, list the specification paragraph that corresponds to the equivalent specified model. Failure to provide this information </w:t>
      </w:r>
      <w:r>
        <w:t>shall</w:t>
      </w:r>
      <w:r w:rsidRPr="00B031E1">
        <w:t xml:space="preserve"> result in the rejection of submittals.</w:t>
      </w:r>
      <w:r>
        <w:t xml:space="preserve"> </w:t>
      </w:r>
    </w:p>
    <w:p w14:paraId="5F66D511" w14:textId="77777777" w:rsidR="007F5706" w:rsidRDefault="007F5706" w:rsidP="007F5706">
      <w:pPr>
        <w:ind w:left="2070" w:hanging="1350"/>
      </w:pPr>
      <w:r w:rsidRPr="0090154D">
        <w:rPr>
          <w:b/>
          <w:szCs w:val="22"/>
        </w:rPr>
        <w:t xml:space="preserve">Page </w:t>
      </w:r>
      <w:r w:rsidR="003F463A">
        <w:rPr>
          <w:b/>
          <w:szCs w:val="22"/>
        </w:rPr>
        <w:t>3</w:t>
      </w:r>
      <w:r w:rsidRPr="0090154D">
        <w:rPr>
          <w:b/>
          <w:szCs w:val="22"/>
        </w:rPr>
        <w:t>:</w:t>
      </w:r>
      <w:r>
        <w:rPr>
          <w:szCs w:val="22"/>
        </w:rPr>
        <w:tab/>
        <w:t>A s</w:t>
      </w:r>
      <w:r>
        <w:t xml:space="preserve">tatement of warranty policy from manufacturer. </w:t>
      </w:r>
    </w:p>
    <w:p w14:paraId="0708D1CF" w14:textId="77777777" w:rsidR="007F5706" w:rsidRDefault="007F5706" w:rsidP="007F5706">
      <w:pPr>
        <w:ind w:left="2070" w:hanging="1350"/>
      </w:pPr>
      <w:r>
        <w:rPr>
          <w:b/>
          <w:szCs w:val="22"/>
        </w:rPr>
        <w:t xml:space="preserve">Page </w:t>
      </w:r>
      <w:r w:rsidR="003F463A">
        <w:rPr>
          <w:b/>
          <w:szCs w:val="22"/>
        </w:rPr>
        <w:t>4</w:t>
      </w:r>
      <w:r w:rsidRPr="0090154D">
        <w:rPr>
          <w:b/>
          <w:szCs w:val="22"/>
        </w:rPr>
        <w:t>:</w:t>
      </w:r>
      <w:r>
        <w:rPr>
          <w:szCs w:val="22"/>
        </w:rPr>
        <w:tab/>
      </w:r>
      <w:r w:rsidRPr="00826518">
        <w:t>A written statement by contractor of how and when they will complete In-Service Training, including the minimum number of hours being provided per system, procedures they will follow, what training aids are provided (technical and user manuals, data sheets, etc.) and how contractor will conduct training.</w:t>
      </w:r>
      <w:r>
        <w:t xml:space="preserve"> </w:t>
      </w:r>
    </w:p>
    <w:p w14:paraId="7865A380" w14:textId="77777777" w:rsidR="007F5706" w:rsidRDefault="007F5706" w:rsidP="007F5706">
      <w:pPr>
        <w:ind w:left="2070" w:hanging="1350"/>
      </w:pPr>
      <w:r>
        <w:rPr>
          <w:b/>
          <w:szCs w:val="22"/>
        </w:rPr>
        <w:t>Page</w:t>
      </w:r>
      <w:r w:rsidR="00763C78">
        <w:rPr>
          <w:b/>
          <w:szCs w:val="22"/>
        </w:rPr>
        <w:t xml:space="preserve"> </w:t>
      </w:r>
      <w:r w:rsidR="003F463A">
        <w:rPr>
          <w:b/>
          <w:szCs w:val="22"/>
        </w:rPr>
        <w:t>5</w:t>
      </w:r>
      <w:r w:rsidRPr="0090154D">
        <w:rPr>
          <w:b/>
          <w:szCs w:val="22"/>
        </w:rPr>
        <w:t>:</w:t>
      </w:r>
      <w:r>
        <w:rPr>
          <w:szCs w:val="22"/>
        </w:rPr>
        <w:tab/>
      </w:r>
      <w:r w:rsidRPr="00E4023D">
        <w:t>A written statement from contractor of: (a) exactly how the contractor will test</w:t>
      </w:r>
      <w:r>
        <w:t xml:space="preserve"> installed equipment and wiring, and</w:t>
      </w:r>
      <w:r w:rsidRPr="00E4023D">
        <w:t xml:space="preserve"> (b) exactly how all the tests recommended by manufacturer will be performed by the contractor, prior to commissioning of system.</w:t>
      </w:r>
      <w:r>
        <w:t xml:space="preserve"> </w:t>
      </w:r>
    </w:p>
    <w:p w14:paraId="6E3E5344" w14:textId="77777777" w:rsidR="007F5706" w:rsidRDefault="007F5706" w:rsidP="007F5706">
      <w:pPr>
        <w:ind w:left="2070" w:hanging="1350"/>
      </w:pPr>
      <w:r w:rsidRPr="0090154D">
        <w:rPr>
          <w:b/>
          <w:szCs w:val="22"/>
        </w:rPr>
        <w:t xml:space="preserve">Page </w:t>
      </w:r>
      <w:r w:rsidR="003F463A">
        <w:rPr>
          <w:b/>
          <w:szCs w:val="22"/>
        </w:rPr>
        <w:t>6</w:t>
      </w:r>
      <w:r w:rsidRPr="0090154D">
        <w:rPr>
          <w:b/>
          <w:szCs w:val="22"/>
        </w:rPr>
        <w:t>:</w:t>
      </w:r>
      <w:r>
        <w:rPr>
          <w:szCs w:val="22"/>
        </w:rPr>
        <w:tab/>
      </w:r>
      <w:r w:rsidRPr="00E4023D">
        <w:t>Provide a written copy of the manufacturer’s list of all of the recommended spare parts to maintain all systems specified after the warranty period. Provide the purchase price and turnaround</w:t>
      </w:r>
      <w:r>
        <w:t xml:space="preserve"> (i.e., Facility’s)</w:t>
      </w:r>
      <w:r w:rsidRPr="00E4023D">
        <w:t xml:space="preserve"> cost associated with each item. List separately the cost of annual maintenance. Show the hourly, purchased labor rates for both regular and emergency service. State any additional charges that may accompany labor charges (such as, but not limited to, travel charges, lodging, etc.).</w:t>
      </w:r>
      <w:r>
        <w:t xml:space="preserve"> </w:t>
      </w:r>
    </w:p>
    <w:p w14:paraId="680D5BF3" w14:textId="77777777" w:rsidR="007F5706" w:rsidRPr="00E4023D" w:rsidRDefault="007F5706" w:rsidP="007F5706">
      <w:pPr>
        <w:ind w:left="2070" w:hanging="1350"/>
      </w:pPr>
      <w:r>
        <w:rPr>
          <w:b/>
          <w:szCs w:val="22"/>
        </w:rPr>
        <w:t xml:space="preserve">Pages </w:t>
      </w:r>
      <w:r w:rsidR="003F463A">
        <w:rPr>
          <w:b/>
          <w:szCs w:val="22"/>
        </w:rPr>
        <w:t>7</w:t>
      </w:r>
      <w:r w:rsidRPr="0090154D">
        <w:rPr>
          <w:b/>
          <w:szCs w:val="22"/>
        </w:rPr>
        <w:t>+:</w:t>
      </w:r>
      <w:r>
        <w:rPr>
          <w:szCs w:val="22"/>
        </w:rPr>
        <w:tab/>
      </w:r>
      <w:r w:rsidRPr="00E4023D">
        <w:t>One catalog sheet per product of equipment listed on page 2, in the exact order as listed on page 2</w:t>
      </w:r>
      <w:r>
        <w:t xml:space="preserve"> of the submittal package</w:t>
      </w:r>
      <w:r w:rsidRPr="00E4023D">
        <w:t>. Each catalog sheet shall describe mechanical, electrical and functional equipment specifications. Photocopy duplications of the manufacturer’s original equipment catalog sheets will be allowed as long as they provide adequate clarity of all printed words, graphics, pictures, illustrations and other information material to the evaluation of the submittal. Submittals that are not of adequate clarity or content may be rejected and re-submission may not be allowed.</w:t>
      </w:r>
    </w:p>
    <w:p w14:paraId="638D6A0B" w14:textId="77777777" w:rsidR="007F5706" w:rsidRDefault="007F5706" w:rsidP="007F5706">
      <w:pPr>
        <w:ind w:left="2070" w:hanging="1350"/>
      </w:pPr>
      <w:r w:rsidRPr="0090154D">
        <w:rPr>
          <w:b/>
          <w:szCs w:val="22"/>
        </w:rPr>
        <w:t>Last Page(s) or Separate:</w:t>
      </w:r>
      <w:r>
        <w:rPr>
          <w:szCs w:val="22"/>
        </w:rPr>
        <w:t xml:space="preserve"> </w:t>
      </w:r>
      <w:r w:rsidRPr="00E4023D">
        <w:t>Provide all inter-equipment wiring diagrams and drawings necessary to install the equipment being supplied. These drawings will show, in detail, all wiring types by wire gauge, conductors and wire manufacturer. These drawings must be updated prior to completion of any work to reflect changes that may have been made during actual installation.</w:t>
      </w:r>
      <w:r>
        <w:t xml:space="preserve"> </w:t>
      </w:r>
    </w:p>
    <w:p w14:paraId="432A0FFF" w14:textId="77777777" w:rsidR="007F5706" w:rsidRDefault="007F5706" w:rsidP="007F5706">
      <w:r w:rsidRPr="00E4023D">
        <w:lastRenderedPageBreak/>
        <w:t>In the event the specifying authority decides to reject the submittals of a supplying contractor, the specifying authority may ask the contractor to re-submit if the discrepancies are minor. Otherwise, rejection of submittals means the specified product must be supplied.</w:t>
      </w:r>
    </w:p>
    <w:p w14:paraId="3FB487F9" w14:textId="77777777" w:rsidR="007F5706" w:rsidRPr="00C249C9" w:rsidRDefault="007F5706" w:rsidP="007F5706">
      <w:pPr>
        <w:pStyle w:val="Heading2"/>
      </w:pPr>
      <w:r w:rsidRPr="00C249C9">
        <w:t>Project Site Visit</w:t>
      </w:r>
    </w:p>
    <w:p w14:paraId="0BD1293C" w14:textId="77777777" w:rsidR="007F5706" w:rsidRDefault="007F5706" w:rsidP="00763C78">
      <w:pPr>
        <w:pStyle w:val="BodyText"/>
        <w:spacing w:line="276" w:lineRule="auto"/>
      </w:pPr>
      <w:r w:rsidRPr="00CE1C72">
        <w:t>It is the responsibility of all prospective contractors to make an adequate inspection of the project site or review of project plans. A mandatory site visit or meeting to review project plans is scheduled for the following date(s) _</w:t>
      </w:r>
      <w:r>
        <w:t>________</w:t>
      </w:r>
      <w:r w:rsidRPr="00CE1C72">
        <w:t xml:space="preserve">_______. Any contractor not registered as having attended the mandatory site visit tour or </w:t>
      </w:r>
      <w:r>
        <w:t>the</w:t>
      </w:r>
      <w:r w:rsidRPr="00CE1C72">
        <w:t xml:space="preserve"> project plans review meeting will be disqualified and any bid proposal will automatically be rejected.</w:t>
      </w:r>
      <w:r>
        <w:t xml:space="preserve"> </w:t>
      </w:r>
    </w:p>
    <w:p w14:paraId="7227AB1A" w14:textId="77777777" w:rsidR="007F5706" w:rsidRPr="00C249C9" w:rsidRDefault="007F5706" w:rsidP="007F5706">
      <w:pPr>
        <w:pStyle w:val="Heading2"/>
      </w:pPr>
      <w:r w:rsidRPr="007F5706">
        <w:t>Demonstrations</w:t>
      </w:r>
    </w:p>
    <w:p w14:paraId="76DBE925" w14:textId="77777777" w:rsidR="007F5706" w:rsidRDefault="007F5706" w:rsidP="007F5706">
      <w:r w:rsidRPr="00CE1C72">
        <w:t>It may be necessary to utilize demonstration equipment to test the functional operation of the contractor’s submitted equipment. Contractor will be notified of any demonstration dates and times. If such demonstrations are utilized, it will be the sole judgment of the owner and/or owner’s designated specifying authority to decide whether a contractor/manufacturer meets or exceeds the specification.</w:t>
      </w:r>
    </w:p>
    <w:p w14:paraId="6D8C3570" w14:textId="77777777" w:rsidR="007F5706" w:rsidRDefault="007F5706" w:rsidP="007F5706">
      <w:r w:rsidRPr="00CE1C72">
        <w:t>All demonstrated equipment must be of a standard single manufacturer and meet the same required testing and conditions that are applicable to the manufactured equipment. Custom or modified equipment that is not of standard, current manufacture cannot be demonstrated.</w:t>
      </w:r>
      <w:r>
        <w:t xml:space="preserve"> </w:t>
      </w:r>
    </w:p>
    <w:p w14:paraId="36EAF36A" w14:textId="77777777" w:rsidR="007F5706" w:rsidRDefault="007F5706" w:rsidP="007F5706">
      <w:r w:rsidRPr="00CE1C72">
        <w:t>If necessary, owner and/or specifying authority may visit the manufacturer’s facility to view functioning equipment or demonstrations and witness equipment manufacturing techniques and/or testing procedures.</w:t>
      </w:r>
      <w:r>
        <w:t xml:space="preserve"> </w:t>
      </w:r>
    </w:p>
    <w:p w14:paraId="6E88E85F" w14:textId="77777777" w:rsidR="007F5706" w:rsidRPr="00C249C9" w:rsidRDefault="007F5706" w:rsidP="007F5706">
      <w:pPr>
        <w:pStyle w:val="Heading2"/>
      </w:pPr>
      <w:r w:rsidRPr="007F5706">
        <w:t>Scheduling</w:t>
      </w:r>
    </w:p>
    <w:p w14:paraId="15476D90" w14:textId="77777777" w:rsidR="007F5706" w:rsidRDefault="007F5706" w:rsidP="007F5706">
      <w:pPr>
        <w:pStyle w:val="BodyText"/>
      </w:pPr>
      <w:r w:rsidRPr="00CE1C72">
        <w:t>It is the responsibility of the general contractor to coordinate all work with the other trades for scheduling, rough-in, and finishing all work specified. The owner will not be liable for any additional costs due to missed dates or poor coordination of the supplying contractor with other trades.</w:t>
      </w:r>
      <w:r>
        <w:t xml:space="preserve"> </w:t>
      </w:r>
    </w:p>
    <w:p w14:paraId="7042FA43" w14:textId="77777777" w:rsidR="007F5706" w:rsidRPr="00C249C9" w:rsidRDefault="007F5706" w:rsidP="007F5706">
      <w:pPr>
        <w:pStyle w:val="Heading2"/>
      </w:pPr>
      <w:r w:rsidRPr="007F5706">
        <w:t>Warranty</w:t>
      </w:r>
    </w:p>
    <w:p w14:paraId="5487CB15" w14:textId="77777777" w:rsidR="007F5706" w:rsidRPr="00392EAB" w:rsidRDefault="007F5706" w:rsidP="007F5706">
      <w:pPr>
        <w:pStyle w:val="BodyText"/>
        <w:rPr>
          <w:rFonts w:eastAsia="MS Mincho"/>
          <w:vertAlign w:val="superscript"/>
        </w:rPr>
      </w:pPr>
      <w:r>
        <w:t>T</w:t>
      </w:r>
      <w:r w:rsidRPr="00CE1C72">
        <w:t>he warranty shall include all necessary labor and equipment to maintain the system(s) in full operation for a period of one year from the date of acceptance</w:t>
      </w:r>
      <w:r>
        <w:t xml:space="preserve">. </w:t>
      </w:r>
      <w:r>
        <w:rPr>
          <w:rFonts w:eastAsia="MS Mincho"/>
        </w:rPr>
        <w:t xml:space="preserve">Each piece of equipment supplied by the </w:t>
      </w:r>
      <w:r w:rsidR="00F16174">
        <w:rPr>
          <w:rFonts w:eastAsia="MS Mincho"/>
        </w:rPr>
        <w:t>Wander Management System</w:t>
      </w:r>
      <w:r>
        <w:rPr>
          <w:rFonts w:eastAsia="MS Mincho"/>
        </w:rPr>
        <w:t xml:space="preserve"> manufacturer shall be warranted to be free of defects in material and workmanship for a period of twelve (12) months from the date of shipment from the factory.</w:t>
      </w:r>
    </w:p>
    <w:p w14:paraId="7886D073" w14:textId="77777777" w:rsidR="007F5706" w:rsidRDefault="007F5706" w:rsidP="007F5706">
      <w:pPr>
        <w:pStyle w:val="BodyText"/>
      </w:pPr>
      <w:r w:rsidRPr="00CE1C72">
        <w:t>The contractor shall maintain a service department, necessary spare parts, telephone answering services</w:t>
      </w:r>
      <w:r>
        <w:t>,</w:t>
      </w:r>
      <w:r w:rsidRPr="00CE1C72">
        <w:t xml:space="preserve"> and call dispatching required to implement the service standard stated below as part of this contract. After the acceptance of the system(s)</w:t>
      </w:r>
      <w:r>
        <w:t>,</w:t>
      </w:r>
      <w:r w:rsidRPr="00CE1C72">
        <w:t xml:space="preserve"> service shall be provided on the following basis:</w:t>
      </w:r>
      <w:r>
        <w:t xml:space="preserve"> </w:t>
      </w:r>
    </w:p>
    <w:p w14:paraId="66F7B43A" w14:textId="77777777" w:rsidR="007F5706" w:rsidRDefault="007F5706" w:rsidP="007F5706">
      <w:pPr>
        <w:pStyle w:val="BodyText"/>
      </w:pPr>
      <w:r w:rsidRPr="00521924">
        <w:rPr>
          <w:rStyle w:val="Emphasis"/>
        </w:rPr>
        <w:t>Emergency Service</w:t>
      </w:r>
      <w:r>
        <w:rPr>
          <w:rStyle w:val="Emphasis"/>
        </w:rPr>
        <w:t xml:space="preserve"> </w:t>
      </w:r>
      <w:r>
        <w:rPr>
          <w:b/>
          <w:bCs/>
        </w:rPr>
        <w:t xml:space="preserve">— </w:t>
      </w:r>
      <w:r w:rsidRPr="00396EEF">
        <w:t>Provided 24 hours a day. When</w:t>
      </w:r>
      <w:r>
        <w:t xml:space="preserve"> a </w:t>
      </w:r>
      <w:r>
        <w:rPr>
          <w:i/>
          <w:iCs/>
        </w:rPr>
        <w:t>total or catastrophic failure</w:t>
      </w:r>
      <w:r>
        <w:rPr>
          <w:b/>
          <w:bCs/>
        </w:rPr>
        <w:t xml:space="preserve"> </w:t>
      </w:r>
      <w:r>
        <w:t xml:space="preserve">of equipment is reported to contractor, within </w:t>
      </w:r>
      <w:r>
        <w:rPr>
          <w:i/>
          <w:iCs/>
        </w:rPr>
        <w:t>2 hours of notification</w:t>
      </w:r>
      <w:r>
        <w:t>,</w:t>
      </w:r>
      <w:r>
        <w:rPr>
          <w:b/>
          <w:bCs/>
        </w:rPr>
        <w:t xml:space="preserve"> </w:t>
      </w:r>
      <w:r>
        <w:t xml:space="preserve">a service person will be on site. (An example of a catastrophic failure would be failure of a CE module or </w:t>
      </w:r>
      <w:r w:rsidR="00F30D94">
        <w:t>wander management</w:t>
      </w:r>
      <w:r>
        <w:t xml:space="preserve"> server.) </w:t>
      </w:r>
    </w:p>
    <w:p w14:paraId="47C9F700" w14:textId="77777777" w:rsidR="007F5706" w:rsidRDefault="007F5706" w:rsidP="003F463A">
      <w:pPr>
        <w:pStyle w:val="BodyText"/>
      </w:pPr>
      <w:r>
        <w:rPr>
          <w:b/>
          <w:bCs/>
          <w:szCs w:val="22"/>
        </w:rPr>
        <w:t xml:space="preserve">Routine Service — </w:t>
      </w:r>
      <w:r w:rsidRPr="00396EEF">
        <w:t xml:space="preserve">Provided within 4 business hours (9 a.m. to 5 p.m., Monday through Friday, excluding holidays) of notification. When a minor failure of equipment is reported to the contractor on a </w:t>
      </w:r>
      <w:r w:rsidRPr="00396EEF">
        <w:lastRenderedPageBreak/>
        <w:t>Saturday or Sunday, a service person will</w:t>
      </w:r>
      <w:r>
        <w:t xml:space="preserve"> be on site within 4 hours of notification. (An example of a minor failure includes a failure of a single point on the </w:t>
      </w:r>
      <w:r w:rsidR="00F16174">
        <w:t>Wander Management System</w:t>
      </w:r>
      <w:r>
        <w:t xml:space="preserve"> or malfunction of optional components such as email output or paging.) </w:t>
      </w:r>
    </w:p>
    <w:p w14:paraId="2A15A45A" w14:textId="77777777" w:rsidR="007F5706" w:rsidRPr="00C249C9" w:rsidRDefault="007F5706" w:rsidP="007F5706">
      <w:pPr>
        <w:pStyle w:val="Heading2"/>
      </w:pPr>
      <w:r w:rsidRPr="007F5706">
        <w:t>Maintenance</w:t>
      </w:r>
    </w:p>
    <w:p w14:paraId="1B4ED302" w14:textId="77777777" w:rsidR="007F5706" w:rsidRDefault="007F5706" w:rsidP="007F5706">
      <w:r>
        <w:t>The contractor shall:</w:t>
      </w:r>
    </w:p>
    <w:p w14:paraId="3A01C40D" w14:textId="77777777" w:rsidR="007F5706" w:rsidRDefault="007F5706" w:rsidP="003F463A">
      <w:pPr>
        <w:spacing w:after="120"/>
      </w:pPr>
      <w:r>
        <w:t xml:space="preserve">Provide necessary spare parts, noted on Page </w:t>
      </w:r>
      <w:r w:rsidR="003F463A">
        <w:t>7</w:t>
      </w:r>
      <w:r>
        <w:t xml:space="preserve"> of submittal (see Section 1.6), after commissioning of system(s) and before final payment.</w:t>
      </w:r>
    </w:p>
    <w:p w14:paraId="70CAF5C5" w14:textId="77777777" w:rsidR="007F5706" w:rsidRDefault="007F5706" w:rsidP="003F463A">
      <w:pPr>
        <w:spacing w:after="120"/>
      </w:pPr>
      <w:r>
        <w:t>Provide sponsorship for at least one person designated by the owner to attend a service school held by the equipment manufacturer. Transportation to this school, meals, and lodging will be borne by the owner. The equipment manufacturer shall provide school free of charge.</w:t>
      </w:r>
    </w:p>
    <w:p w14:paraId="3543789C" w14:textId="77777777" w:rsidR="007F5706" w:rsidRDefault="007F5706" w:rsidP="003F463A">
      <w:pPr>
        <w:spacing w:after="120"/>
      </w:pPr>
      <w:r>
        <w:t>The owner may choose to have the supplying contractor maintain the system(s). The level of service provided during the maintenance contract period shall be the same as the warranty period for routine and emergency service. All labor and equipment costs shall be covered under this contract. Supplying contractor must state exact billing amounts, billing periods and all costs associated with this maintenance agreement and list any items that shall not be covered under the service/maintenance agreemen</w:t>
      </w:r>
      <w:r w:rsidR="003F463A">
        <w:t>t.</w:t>
      </w:r>
    </w:p>
    <w:p w14:paraId="7876BDD4" w14:textId="77777777" w:rsidR="003F463A" w:rsidRDefault="003F463A" w:rsidP="003F463A">
      <w:pPr>
        <w:spacing w:after="120"/>
      </w:pPr>
    </w:p>
    <w:p w14:paraId="7E5D60F4" w14:textId="77777777" w:rsidR="007F5706" w:rsidRPr="00E01CB7" w:rsidRDefault="007F5706" w:rsidP="007F5706">
      <w:pPr>
        <w:pStyle w:val="Heading1"/>
      </w:pPr>
      <w:r w:rsidRPr="007F5706">
        <w:t>Part</w:t>
      </w:r>
      <w:r w:rsidRPr="00E01CB7">
        <w:t xml:space="preserve"> 2: </w:t>
      </w:r>
      <w:r w:rsidRPr="00D31AB1">
        <w:t>Products</w:t>
      </w:r>
    </w:p>
    <w:p w14:paraId="5F5D630E" w14:textId="77777777" w:rsidR="007F5706" w:rsidRPr="00C249C9" w:rsidRDefault="007F5706" w:rsidP="007F5706">
      <w:pPr>
        <w:pStyle w:val="Heading2"/>
      </w:pPr>
      <w:r w:rsidRPr="007F5706">
        <w:t>Manufacturers</w:t>
      </w:r>
    </w:p>
    <w:p w14:paraId="1CADF804" w14:textId="77777777" w:rsidR="007F5706" w:rsidRDefault="007F5706" w:rsidP="007F5706">
      <w:pPr>
        <w:pStyle w:val="BodyText"/>
      </w:pPr>
      <w:r w:rsidRPr="004D69B8">
        <w:t xml:space="preserve">The products specified shall be new and </w:t>
      </w:r>
      <w:r w:rsidR="00687A6D">
        <w:t xml:space="preserve">provided by </w:t>
      </w:r>
      <w:r w:rsidRPr="004D69B8">
        <w:t>a single, reputable, ISO</w:t>
      </w:r>
      <w:r>
        <w:t xml:space="preserve"> 9001</w:t>
      </w:r>
      <w:r w:rsidRPr="004D69B8">
        <w:t xml:space="preserve"> certified manufacturer</w:t>
      </w:r>
      <w:r>
        <w:t xml:space="preserve"> and approved partners</w:t>
      </w:r>
      <w:r w:rsidRPr="004D69B8">
        <w:t xml:space="preserve">. As a reference of standard and quality, functionality and operation, it is the request of the owner that bids be based only on equipment </w:t>
      </w:r>
      <w:r w:rsidR="00D45140">
        <w:t>provided</w:t>
      </w:r>
      <w:r w:rsidRPr="004D69B8">
        <w:t xml:space="preserve"> by TekTone</w:t>
      </w:r>
      <w:r w:rsidRPr="00456243">
        <w:rPr>
          <w:vertAlign w:val="superscript"/>
        </w:rPr>
        <w:t>®</w:t>
      </w:r>
      <w:r w:rsidRPr="004D69B8">
        <w:t xml:space="preserve"> Sound &amp; Signal </w:t>
      </w:r>
      <w:r>
        <w:t>Mfg.</w:t>
      </w:r>
      <w:r w:rsidRPr="004D69B8">
        <w:t>, Inc., Franklin, NC 28734.</w:t>
      </w:r>
      <w:r>
        <w:t xml:space="preserve"> </w:t>
      </w:r>
    </w:p>
    <w:p w14:paraId="59106274" w14:textId="77777777" w:rsidR="007F5706" w:rsidRPr="00C249C9" w:rsidRDefault="007F5706" w:rsidP="007F5706">
      <w:pPr>
        <w:pStyle w:val="Heading2"/>
      </w:pPr>
      <w:r w:rsidRPr="007F5706">
        <w:t>Removal</w:t>
      </w:r>
      <w:r w:rsidRPr="00C249C9">
        <w:t xml:space="preserve"> of Existing Product </w:t>
      </w:r>
    </w:p>
    <w:p w14:paraId="649DF466" w14:textId="77777777" w:rsidR="007F5706" w:rsidRDefault="007F5706" w:rsidP="007F5706">
      <w:pPr>
        <w:pStyle w:val="BodyText"/>
      </w:pPr>
      <w:r>
        <w:t xml:space="preserve">The </w:t>
      </w:r>
      <w:r w:rsidRPr="00D71D9E">
        <w:t>contractor</w:t>
      </w:r>
      <w:r>
        <w:t xml:space="preserve"> shall r</w:t>
      </w:r>
      <w:r w:rsidRPr="004D69B8">
        <w:t>emove all existing product and deliver to the owner, or at the direction of the owner, properly dispose of same.</w:t>
      </w:r>
      <w:r>
        <w:t xml:space="preserve"> </w:t>
      </w:r>
    </w:p>
    <w:p w14:paraId="1AB5DB5A" w14:textId="77777777" w:rsidR="007F5706" w:rsidRPr="00C249C9" w:rsidRDefault="007F5706" w:rsidP="007F5706">
      <w:pPr>
        <w:pStyle w:val="Heading2"/>
      </w:pPr>
      <w:r>
        <w:t>System</w:t>
      </w:r>
      <w:r w:rsidRPr="00C249C9">
        <w:rPr>
          <w:szCs w:val="18"/>
        </w:rPr>
        <w:t xml:space="preserve"> </w:t>
      </w:r>
      <w:r w:rsidRPr="00C249C9">
        <w:t>Wiring</w:t>
      </w:r>
    </w:p>
    <w:p w14:paraId="4DACCD8F" w14:textId="77777777" w:rsidR="003F463A" w:rsidRDefault="00A17426" w:rsidP="00B21950">
      <w:pPr>
        <w:pStyle w:val="BodyTextIndent"/>
        <w:tabs>
          <w:tab w:val="clear" w:pos="360"/>
          <w:tab w:val="clear" w:pos="720"/>
        </w:tabs>
        <w:ind w:left="360" w:firstLine="0"/>
      </w:pPr>
      <w:r>
        <w:t xml:space="preserve">Door controller </w:t>
      </w:r>
      <w:r w:rsidR="00FA2400">
        <w:t>to</w:t>
      </w:r>
      <w:r>
        <w:t xml:space="preserve"> associated peripheral</w:t>
      </w:r>
      <w:r w:rsidR="00FA2400">
        <w:t>s</w:t>
      </w:r>
      <w:r>
        <w:t xml:space="preserve"> wiring:</w:t>
      </w:r>
    </w:p>
    <w:p w14:paraId="7956B3D3" w14:textId="77777777" w:rsidR="00A17426" w:rsidRDefault="00D01BCE" w:rsidP="00FA2400">
      <w:pPr>
        <w:pStyle w:val="BodyTextIndent"/>
        <w:numPr>
          <w:ilvl w:val="0"/>
          <w:numId w:val="38"/>
        </w:numPr>
        <w:tabs>
          <w:tab w:val="clear" w:pos="360"/>
          <w:tab w:val="clear" w:pos="720"/>
        </w:tabs>
      </w:pPr>
      <w:r>
        <w:t xml:space="preserve">Networked </w:t>
      </w:r>
      <w:r w:rsidR="00FA2400">
        <w:t>NC702 door controllers: (RS485) CAT5E or better</w:t>
      </w:r>
    </w:p>
    <w:p w14:paraId="0E3D8D6E" w14:textId="77777777" w:rsidR="00D01BCE" w:rsidRDefault="00D01BCE" w:rsidP="00FA2400">
      <w:pPr>
        <w:pStyle w:val="BodyTextIndent"/>
        <w:numPr>
          <w:ilvl w:val="0"/>
          <w:numId w:val="38"/>
        </w:numPr>
        <w:tabs>
          <w:tab w:val="clear" w:pos="360"/>
          <w:tab w:val="clear" w:pos="720"/>
        </w:tabs>
      </w:pPr>
      <w:r>
        <w:t>To PK701/PK702: 18 ga</w:t>
      </w:r>
      <w:r w:rsidR="00B05D05">
        <w:t>uge</w:t>
      </w:r>
      <w:r>
        <w:t xml:space="preserve"> 2 conductor (power) per controller</w:t>
      </w:r>
    </w:p>
    <w:p w14:paraId="6A677E77" w14:textId="77777777" w:rsidR="00FA2400" w:rsidRDefault="00FA2400" w:rsidP="00FA2400">
      <w:pPr>
        <w:pStyle w:val="BodyTextIndent"/>
        <w:numPr>
          <w:ilvl w:val="0"/>
          <w:numId w:val="38"/>
        </w:numPr>
        <w:tabs>
          <w:tab w:val="clear" w:pos="360"/>
          <w:tab w:val="clear" w:pos="720"/>
        </w:tabs>
      </w:pPr>
      <w:r>
        <w:t xml:space="preserve">To NC704 Maglock: 18 </w:t>
      </w:r>
      <w:r w:rsidR="00B05D05">
        <w:t xml:space="preserve">gauge </w:t>
      </w:r>
      <w:r w:rsidR="00D01BCE">
        <w:t>4 conductor</w:t>
      </w:r>
    </w:p>
    <w:p w14:paraId="1F6B7C57" w14:textId="77777777" w:rsidR="00D01BCE" w:rsidRDefault="00D01BCE" w:rsidP="00FA2400">
      <w:pPr>
        <w:pStyle w:val="BodyTextIndent"/>
        <w:numPr>
          <w:ilvl w:val="0"/>
          <w:numId w:val="38"/>
        </w:numPr>
        <w:tabs>
          <w:tab w:val="clear" w:pos="360"/>
          <w:tab w:val="clear" w:pos="720"/>
        </w:tabs>
      </w:pPr>
      <w:r>
        <w:t xml:space="preserve">To ST019A magnetic contact: 22 </w:t>
      </w:r>
      <w:r w:rsidR="00B05D05">
        <w:t xml:space="preserve">gauge </w:t>
      </w:r>
      <w:r>
        <w:t>2 conductor</w:t>
      </w:r>
    </w:p>
    <w:p w14:paraId="798DD8AA" w14:textId="77777777" w:rsidR="0061499E" w:rsidRDefault="0061499E" w:rsidP="00FA2400">
      <w:pPr>
        <w:pStyle w:val="BodyTextIndent"/>
        <w:numPr>
          <w:ilvl w:val="0"/>
          <w:numId w:val="38"/>
        </w:numPr>
        <w:tabs>
          <w:tab w:val="clear" w:pos="360"/>
          <w:tab w:val="clear" w:pos="720"/>
        </w:tabs>
      </w:pPr>
      <w:r>
        <w:t xml:space="preserve">SF703 PIR Motion Detector: 22 </w:t>
      </w:r>
      <w:r w:rsidR="00B05D05">
        <w:t xml:space="preserve">gauge </w:t>
      </w:r>
      <w:r>
        <w:t>4 conductor</w:t>
      </w:r>
    </w:p>
    <w:p w14:paraId="51BDE166" w14:textId="77777777" w:rsidR="00D01BCE" w:rsidRDefault="00D01BCE" w:rsidP="00FA2400">
      <w:pPr>
        <w:pStyle w:val="BodyTextIndent"/>
        <w:numPr>
          <w:ilvl w:val="0"/>
          <w:numId w:val="38"/>
        </w:numPr>
        <w:tabs>
          <w:tab w:val="clear" w:pos="360"/>
          <w:tab w:val="clear" w:pos="720"/>
        </w:tabs>
      </w:pPr>
      <w:r>
        <w:t>NC703/NC707 Keypad: CAT5E or better</w:t>
      </w:r>
    </w:p>
    <w:p w14:paraId="7C7CF8C4" w14:textId="77777777" w:rsidR="00D01BCE" w:rsidRDefault="00D01BCE" w:rsidP="00FA2400">
      <w:pPr>
        <w:pStyle w:val="BodyTextIndent"/>
        <w:numPr>
          <w:ilvl w:val="0"/>
          <w:numId w:val="38"/>
        </w:numPr>
        <w:tabs>
          <w:tab w:val="clear" w:pos="360"/>
          <w:tab w:val="clear" w:pos="720"/>
        </w:tabs>
      </w:pPr>
      <w:r>
        <w:t xml:space="preserve">NC709/NC711 Keypad with Display: CAT5E or better plus 18 </w:t>
      </w:r>
      <w:r w:rsidR="00B05D05">
        <w:t xml:space="preserve">gauge </w:t>
      </w:r>
      <w:r>
        <w:t>2 conductor (power)</w:t>
      </w:r>
    </w:p>
    <w:p w14:paraId="61607AED" w14:textId="77777777" w:rsidR="0061499E" w:rsidRDefault="0061499E" w:rsidP="00FA2400">
      <w:pPr>
        <w:pStyle w:val="BodyTextIndent"/>
        <w:numPr>
          <w:ilvl w:val="0"/>
          <w:numId w:val="38"/>
        </w:numPr>
        <w:tabs>
          <w:tab w:val="clear" w:pos="360"/>
          <w:tab w:val="clear" w:pos="720"/>
        </w:tabs>
      </w:pPr>
      <w:r>
        <w:t>NC</w:t>
      </w:r>
      <w:r w:rsidR="00AB0C94">
        <w:t xml:space="preserve">712/713 Display with button: CAT5E or better plus 18 </w:t>
      </w:r>
      <w:r w:rsidR="00B05D05">
        <w:t xml:space="preserve">gauge </w:t>
      </w:r>
      <w:r w:rsidR="00AB0C94">
        <w:t>2 conductor (power)</w:t>
      </w:r>
    </w:p>
    <w:p w14:paraId="4D58BC86" w14:textId="77777777" w:rsidR="00022BA8" w:rsidRDefault="00022BA8" w:rsidP="00022BA8">
      <w:pPr>
        <w:pStyle w:val="BodyTextIndent"/>
        <w:numPr>
          <w:ilvl w:val="0"/>
          <w:numId w:val="38"/>
        </w:numPr>
        <w:tabs>
          <w:tab w:val="clear" w:pos="360"/>
          <w:tab w:val="clear" w:pos="720"/>
        </w:tabs>
      </w:pPr>
      <w:r>
        <w:t xml:space="preserve">NC705/NC706: To PK505: 18 </w:t>
      </w:r>
      <w:r w:rsidR="00B05D05">
        <w:t xml:space="preserve">gauge </w:t>
      </w:r>
      <w:r>
        <w:t>2 conductor (power) per controller</w:t>
      </w:r>
    </w:p>
    <w:p w14:paraId="60454622" w14:textId="77777777" w:rsidR="00022BA8" w:rsidRDefault="00022BA8" w:rsidP="00022BA8">
      <w:pPr>
        <w:pStyle w:val="BodyTextIndent"/>
        <w:numPr>
          <w:ilvl w:val="0"/>
          <w:numId w:val="38"/>
        </w:numPr>
        <w:tabs>
          <w:tab w:val="clear" w:pos="360"/>
          <w:tab w:val="clear" w:pos="720"/>
        </w:tabs>
      </w:pPr>
      <w:r>
        <w:lastRenderedPageBreak/>
        <w:t xml:space="preserve">To PK505: 18 </w:t>
      </w:r>
      <w:r w:rsidR="00B05D05">
        <w:t xml:space="preserve">gauge </w:t>
      </w:r>
      <w:r>
        <w:t>2 conductor (power) per controller</w:t>
      </w:r>
    </w:p>
    <w:p w14:paraId="5CA05DF1" w14:textId="77777777" w:rsidR="00D01BCE" w:rsidRDefault="00D01BCE" w:rsidP="00D01BCE">
      <w:pPr>
        <w:pStyle w:val="BodyTextIndent"/>
        <w:tabs>
          <w:tab w:val="clear" w:pos="360"/>
          <w:tab w:val="clear" w:pos="720"/>
        </w:tabs>
      </w:pPr>
    </w:p>
    <w:p w14:paraId="0F40CD5B" w14:textId="77777777" w:rsidR="00A17426" w:rsidRDefault="00A17426" w:rsidP="00B21950">
      <w:pPr>
        <w:pStyle w:val="BodyTextIndent"/>
        <w:tabs>
          <w:tab w:val="clear" w:pos="360"/>
          <w:tab w:val="clear" w:pos="720"/>
        </w:tabs>
        <w:ind w:left="360" w:firstLine="0"/>
      </w:pPr>
      <w:r>
        <w:t>Tek-BRIDGE PC / Display wiring:</w:t>
      </w:r>
    </w:p>
    <w:p w14:paraId="4412D7A0" w14:textId="77777777" w:rsidR="003F463A" w:rsidRDefault="00FA2400" w:rsidP="00B21950">
      <w:pPr>
        <w:pStyle w:val="BodyTextIndent"/>
        <w:numPr>
          <w:ilvl w:val="0"/>
          <w:numId w:val="37"/>
        </w:numPr>
        <w:tabs>
          <w:tab w:val="clear" w:pos="360"/>
          <w:tab w:val="clear" w:pos="720"/>
        </w:tabs>
      </w:pPr>
      <w:r>
        <w:t>Facility Lan to CT701: CAT5E or better</w:t>
      </w:r>
    </w:p>
    <w:p w14:paraId="21E6FE7A" w14:textId="77777777" w:rsidR="00FA2400" w:rsidRDefault="00FA2400" w:rsidP="00FA2400">
      <w:pPr>
        <w:pStyle w:val="BodyTextIndent"/>
        <w:numPr>
          <w:ilvl w:val="0"/>
          <w:numId w:val="37"/>
        </w:numPr>
        <w:tabs>
          <w:tab w:val="clear" w:pos="360"/>
          <w:tab w:val="clear" w:pos="720"/>
        </w:tabs>
      </w:pPr>
      <w:r>
        <w:t>CT701 to NC702 door controller (arbiter): CAT5E or better</w:t>
      </w:r>
    </w:p>
    <w:p w14:paraId="35BD50A2" w14:textId="77777777" w:rsidR="007F5706" w:rsidRPr="00C249C9" w:rsidRDefault="00AB0C94" w:rsidP="007F5706">
      <w:pPr>
        <w:pStyle w:val="Heading2"/>
      </w:pPr>
      <w:r>
        <w:t>Door Control Module</w:t>
      </w:r>
    </w:p>
    <w:p w14:paraId="3ACB272D" w14:textId="77777777" w:rsidR="001E7B24" w:rsidRDefault="00545955" w:rsidP="00AB0C94">
      <w:pPr>
        <w:pStyle w:val="BodyText"/>
        <w:spacing w:line="276" w:lineRule="auto"/>
      </w:pPr>
      <w:r>
        <w:t xml:space="preserve">The </w:t>
      </w:r>
      <w:r w:rsidR="00F16174">
        <w:t>Wander Management System</w:t>
      </w:r>
      <w:r>
        <w:t xml:space="preserve"> can be configured as standalone controllers at each door, a networked system of controllers or a networked system of controllers with the TekTone</w:t>
      </w:r>
      <w:r w:rsidR="004F4727" w:rsidRPr="004F4727">
        <w:rPr>
          <w:vertAlign w:val="superscript"/>
        </w:rPr>
        <w:t>®</w:t>
      </w:r>
      <w:r>
        <w:t xml:space="preserve"> Tek-BRIDGE</w:t>
      </w:r>
      <w:r w:rsidRPr="00456243">
        <w:rPr>
          <w:vertAlign w:val="superscript"/>
        </w:rPr>
        <w:t>®</w:t>
      </w:r>
      <w:r>
        <w:t xml:space="preserve"> Server to provide display, database, reporting and interface with other Tek-CARE</w:t>
      </w:r>
      <w:r w:rsidRPr="00545955">
        <w:rPr>
          <w:vertAlign w:val="superscript"/>
        </w:rPr>
        <w:t>®</w:t>
      </w:r>
      <w:r>
        <w:t xml:space="preserve"> system components.  </w:t>
      </w:r>
    </w:p>
    <w:p w14:paraId="1EAAB866" w14:textId="77777777" w:rsidR="001E7B24" w:rsidRDefault="001E7B24" w:rsidP="001E7B24">
      <w:pPr>
        <w:pStyle w:val="BodyText"/>
        <w:spacing w:line="276" w:lineRule="auto"/>
      </w:pPr>
      <w:r>
        <w:t xml:space="preserve">The </w:t>
      </w:r>
      <w:r w:rsidR="00F16174">
        <w:t>Wander Management System</w:t>
      </w:r>
      <w:r>
        <w:t xml:space="preserve"> shall transmit at a frequency of 418MHz thereby reducing effects of traffic found at other more common frequencies.</w:t>
      </w:r>
    </w:p>
    <w:p w14:paraId="1670ECBC" w14:textId="77777777" w:rsidR="00AB0C94" w:rsidRPr="00AB0C94" w:rsidRDefault="00AB0C94" w:rsidP="00AB0C94">
      <w:pPr>
        <w:pStyle w:val="BodyText"/>
        <w:spacing w:line="276" w:lineRule="auto"/>
      </w:pPr>
      <w:r w:rsidRPr="00AB0C94">
        <w:t xml:space="preserve">A </w:t>
      </w:r>
      <w:r w:rsidR="00F16174">
        <w:t>door controller</w:t>
      </w:r>
      <w:r w:rsidRPr="00AB0C94">
        <w:t xml:space="preserve"> is installed at each door that must be monitored and controlled for resident egress. The door controller emits a wireless transmit field around the door. When a resident tag enters the transmit field, the door controller detects the tag. A magnetic switch on the door </w:t>
      </w:r>
      <w:r w:rsidR="00713B03">
        <w:t xml:space="preserve">shall </w:t>
      </w:r>
      <w:r w:rsidRPr="00AB0C94">
        <w:t xml:space="preserve">monitor its position—open or closed. If the door opens while a tag is in the transmit field, an alarm sounds. The alarm can only be reset when a facility staff member enters a code into the keypad mounted near the door.  If a tag enters a monitored area, the system </w:t>
      </w:r>
      <w:r w:rsidR="00713B03">
        <w:t>shall</w:t>
      </w:r>
      <w:r w:rsidRPr="00AB0C94">
        <w:t xml:space="preserve"> automatically sound alarms, lock doors, deactivate elevator doors, flash lights, and trigger calls that display on the Tek-BRIDGE</w:t>
      </w:r>
      <w:r w:rsidRPr="004917CC">
        <w:rPr>
          <w:vertAlign w:val="superscript"/>
        </w:rPr>
        <w:t>®</w:t>
      </w:r>
      <w:r w:rsidRPr="00AB0C94">
        <w:t xml:space="preserve"> server at the nurses</w:t>
      </w:r>
      <w:r w:rsidR="00A271C3">
        <w:t>’</w:t>
      </w:r>
      <w:r w:rsidRPr="00AB0C94">
        <w:t xml:space="preserve"> station </w:t>
      </w:r>
      <w:r w:rsidR="00210BE8">
        <w:t>according to system programming</w:t>
      </w:r>
      <w:r w:rsidR="00221F0A">
        <w:t>.  System events are automatically</w:t>
      </w:r>
      <w:r w:rsidR="00221F0A" w:rsidRPr="00AB0C94">
        <w:t xml:space="preserve"> logged</w:t>
      </w:r>
      <w:r w:rsidR="00210BE8">
        <w:t xml:space="preserve"> </w:t>
      </w:r>
      <w:r w:rsidR="00713B03">
        <w:t xml:space="preserve">by the </w:t>
      </w:r>
      <w:r w:rsidRPr="00AB0C94">
        <w:t>Tek-CARE</w:t>
      </w:r>
      <w:r w:rsidR="004917CC" w:rsidRPr="003D6DC6">
        <w:rPr>
          <w:vertAlign w:val="superscript"/>
        </w:rPr>
        <w:t>®</w:t>
      </w:r>
      <w:r w:rsidRPr="00AB0C94">
        <w:t xml:space="preserve"> Reporting software.</w:t>
      </w:r>
    </w:p>
    <w:p w14:paraId="0536AD4F" w14:textId="77777777" w:rsidR="00586001" w:rsidRDefault="00AB0C94" w:rsidP="00AB0C94">
      <w:pPr>
        <w:pStyle w:val="BodyText"/>
        <w:spacing w:line="276" w:lineRule="auto"/>
      </w:pPr>
      <w:r w:rsidRPr="00AB0C94">
        <w:t xml:space="preserve">The </w:t>
      </w:r>
      <w:r w:rsidR="00F16174">
        <w:t>door controller</w:t>
      </w:r>
      <w:r w:rsidRPr="00AB0C94">
        <w:t xml:space="preserve"> </w:t>
      </w:r>
      <w:r w:rsidR="00DF2123">
        <w:t xml:space="preserve">shall </w:t>
      </w:r>
      <w:r w:rsidRPr="00AB0C94">
        <w:t xml:space="preserve">monitor single and double doors, elevator doors, and automatic doors. </w:t>
      </w:r>
      <w:r w:rsidR="00DF2123">
        <w:t xml:space="preserve"> </w:t>
      </w:r>
      <w:r w:rsidRPr="00AB0C94">
        <w:t>A</w:t>
      </w:r>
      <w:r w:rsidR="00DF2123">
        <w:t xml:space="preserve"> Motion Detector </w:t>
      </w:r>
      <w:r w:rsidRPr="00AB0C94">
        <w:t xml:space="preserve">(PIR) </w:t>
      </w:r>
      <w:r w:rsidR="00CE16E2">
        <w:t>may</w:t>
      </w:r>
      <w:r w:rsidRPr="00AB0C94">
        <w:t xml:space="preserve"> be used to monitor swinging doors, entire hallways, elevator lobbies, or other open spaces for patient ingress and egress. </w:t>
      </w:r>
      <w:r w:rsidR="00DF2123">
        <w:t>There shall be a</w:t>
      </w:r>
      <w:r w:rsidRPr="00AB0C94">
        <w:t xml:space="preserve"> fire panel interface</w:t>
      </w:r>
      <w:r w:rsidR="00781B8A">
        <w:t xml:space="preserve"> installed</w:t>
      </w:r>
      <w:r w:rsidRPr="00AB0C94">
        <w:t xml:space="preserve"> </w:t>
      </w:r>
      <w:r w:rsidR="00DF2123">
        <w:t xml:space="preserve">which </w:t>
      </w:r>
      <w:r w:rsidRPr="00AB0C94">
        <w:t xml:space="preserve">deactivates connected </w:t>
      </w:r>
      <w:r w:rsidR="005C52FE">
        <w:t>Maglock</w:t>
      </w:r>
      <w:r w:rsidRPr="00AB0C94">
        <w:t>s in the event of a fire alarm.  When installed with an NC474 Tek-BRIDGE</w:t>
      </w:r>
      <w:bookmarkStart w:id="0" w:name="_Hlk479257148"/>
      <w:r w:rsidRPr="004917CC">
        <w:rPr>
          <w:vertAlign w:val="superscript"/>
        </w:rPr>
        <w:t>®</w:t>
      </w:r>
      <w:bookmarkEnd w:id="0"/>
      <w:r w:rsidR="00205CF3">
        <w:t xml:space="preserve"> server, the wander</w:t>
      </w:r>
      <w:r w:rsidRPr="00AB0C94">
        <w:t xml:space="preserve"> management system integrates seamlessly with all connected TekTone Tek-CARE systems.</w:t>
      </w:r>
      <w:r w:rsidR="004D414B">
        <w:t xml:space="preserve"> </w:t>
      </w:r>
    </w:p>
    <w:p w14:paraId="1DA36E57" w14:textId="77777777" w:rsidR="00AB0C94" w:rsidRPr="00586001" w:rsidRDefault="004D414B" w:rsidP="00AB0C94">
      <w:pPr>
        <w:pStyle w:val="BodyText"/>
        <w:spacing w:line="276" w:lineRule="auto"/>
        <w:rPr>
          <w:b/>
        </w:rPr>
      </w:pPr>
      <w:r w:rsidRPr="00586001">
        <w:rPr>
          <w:b/>
        </w:rPr>
        <w:t xml:space="preserve">The </w:t>
      </w:r>
      <w:r w:rsidR="00F16174">
        <w:rPr>
          <w:b/>
        </w:rPr>
        <w:t>door c</w:t>
      </w:r>
      <w:r w:rsidR="00586001" w:rsidRPr="00586001">
        <w:rPr>
          <w:b/>
        </w:rPr>
        <w:t>ontroller shall be</w:t>
      </w:r>
      <w:r w:rsidRPr="00586001">
        <w:rPr>
          <w:b/>
        </w:rPr>
        <w:t xml:space="preserve"> TekTone</w:t>
      </w:r>
      <w:r w:rsidR="00586001" w:rsidRPr="004917CC">
        <w:rPr>
          <w:vertAlign w:val="superscript"/>
        </w:rPr>
        <w:t>®</w:t>
      </w:r>
      <w:r w:rsidRPr="00586001">
        <w:rPr>
          <w:b/>
        </w:rPr>
        <w:t xml:space="preserve"> </w:t>
      </w:r>
      <w:r w:rsidR="00586001" w:rsidRPr="00586001">
        <w:rPr>
          <w:b/>
        </w:rPr>
        <w:t>NC702</w:t>
      </w:r>
      <w:r w:rsidR="00DF2123">
        <w:rPr>
          <w:b/>
        </w:rPr>
        <w:t xml:space="preserve">.  </w:t>
      </w:r>
      <w:r w:rsidR="00F16174">
        <w:rPr>
          <w:b/>
        </w:rPr>
        <w:t>Wander Management System</w:t>
      </w:r>
      <w:r w:rsidR="00DF2123">
        <w:rPr>
          <w:b/>
        </w:rPr>
        <w:t>s that do not integrate with the nurse call system, reporting, o</w:t>
      </w:r>
      <w:r w:rsidR="00782E8B">
        <w:rPr>
          <w:b/>
        </w:rPr>
        <w:t xml:space="preserve">r other notification systems, </w:t>
      </w:r>
      <w:r w:rsidR="00DF2123">
        <w:rPr>
          <w:b/>
        </w:rPr>
        <w:t>shall not be acceptable.</w:t>
      </w:r>
    </w:p>
    <w:p w14:paraId="21CCD3C1" w14:textId="77777777" w:rsidR="00FB0C45" w:rsidRPr="00C249C9" w:rsidRDefault="00AB0C94" w:rsidP="00AB0C94">
      <w:pPr>
        <w:pStyle w:val="Heading2"/>
      </w:pPr>
      <w:r>
        <w:t>Resident and Asset Tags</w:t>
      </w:r>
    </w:p>
    <w:p w14:paraId="49E445EA" w14:textId="77777777" w:rsidR="00AB0C94" w:rsidRPr="00E15A49" w:rsidRDefault="00AB0C94" w:rsidP="00E15A49">
      <w:pPr>
        <w:pStyle w:val="BodyText"/>
        <w:spacing w:line="276" w:lineRule="auto"/>
      </w:pPr>
      <w:r w:rsidRPr="00E15A49">
        <w:t>The Resident Tag and the Asset Tag are wristwatch-sized devices worn by a resident or attached to an asset. The Resident Tag is designed to be worn on a wrist or ankle and the Asset Tag is designed to be attached to assets such as IV pumps, wheelchairs, or walkers.</w:t>
      </w:r>
    </w:p>
    <w:p w14:paraId="555B01B1" w14:textId="77777777" w:rsidR="001E7B24" w:rsidRDefault="00AB0C94" w:rsidP="001E7B24">
      <w:pPr>
        <w:pStyle w:val="BodyText"/>
        <w:spacing w:line="276" w:lineRule="auto"/>
      </w:pPr>
      <w:r w:rsidRPr="00E15A49">
        <w:t>The tags are inactive until they enter the</w:t>
      </w:r>
      <w:r w:rsidR="00E15A49" w:rsidRPr="00E15A49">
        <w:t xml:space="preserve"> </w:t>
      </w:r>
      <w:r w:rsidR="004F4727">
        <w:t>transmit field of a door c</w:t>
      </w:r>
      <w:r w:rsidRPr="00E15A49">
        <w:t>ontroller. Once the tag is</w:t>
      </w:r>
      <w:r w:rsidR="00E15A49" w:rsidRPr="00E15A49">
        <w:t xml:space="preserve"> </w:t>
      </w:r>
      <w:r w:rsidRPr="00E15A49">
        <w:t>excited by the door controller, it transmits a 418 MHz signal</w:t>
      </w:r>
      <w:r w:rsidR="00E15A49" w:rsidRPr="00E15A49">
        <w:t xml:space="preserve"> </w:t>
      </w:r>
      <w:r w:rsidRPr="00E15A49">
        <w:t>that the door controller uses to lock doors, sound alarms,</w:t>
      </w:r>
      <w:r w:rsidR="00E15A49" w:rsidRPr="00E15A49">
        <w:t xml:space="preserve"> </w:t>
      </w:r>
      <w:r w:rsidRPr="00E15A49">
        <w:t>or deactivate elevators.</w:t>
      </w:r>
      <w:r w:rsidR="001E7B24">
        <w:t xml:space="preserve">  </w:t>
      </w:r>
    </w:p>
    <w:p w14:paraId="1F5CBB6B" w14:textId="77777777" w:rsidR="00780EB5" w:rsidRDefault="00AB0C94" w:rsidP="00E15A49">
      <w:pPr>
        <w:pStyle w:val="BodyText"/>
        <w:spacing w:line="276" w:lineRule="auto"/>
      </w:pPr>
      <w:r w:rsidRPr="00E15A49">
        <w:t xml:space="preserve">The tags </w:t>
      </w:r>
      <w:r w:rsidR="0003237C">
        <w:t>shall be</w:t>
      </w:r>
      <w:r w:rsidRPr="00E15A49">
        <w:t xml:space="preserve"> sealed against dirt and</w:t>
      </w:r>
      <w:r w:rsidR="00E15A49" w:rsidRPr="00E15A49">
        <w:t xml:space="preserve"> </w:t>
      </w:r>
      <w:r w:rsidRPr="00E15A49">
        <w:t>moisture. Battery life ranges from 2–5 years in typical</w:t>
      </w:r>
      <w:r w:rsidR="00EE59F6">
        <w:t xml:space="preserve"> </w:t>
      </w:r>
      <w:r w:rsidRPr="00E15A49">
        <w:t xml:space="preserve">applications. </w:t>
      </w:r>
      <w:r w:rsidR="00054354">
        <w:t xml:space="preserve">A </w:t>
      </w:r>
      <w:r w:rsidR="00054354" w:rsidRPr="00054354">
        <w:t xml:space="preserve">red, pulsating LED </w:t>
      </w:r>
      <w:r w:rsidR="00054354">
        <w:t>shall serve</w:t>
      </w:r>
      <w:r w:rsidR="00054354" w:rsidRPr="00054354">
        <w:t xml:space="preserve"> as a continuous visual indication for staff that the tag is active.</w:t>
      </w:r>
      <w:r w:rsidR="00054354">
        <w:t xml:space="preserve"> </w:t>
      </w:r>
    </w:p>
    <w:p w14:paraId="438EC2B9" w14:textId="77777777" w:rsidR="00AB0C94" w:rsidRPr="00B81A33" w:rsidRDefault="00AB0C94" w:rsidP="00E15A49">
      <w:pPr>
        <w:pStyle w:val="BodyText"/>
        <w:spacing w:line="276" w:lineRule="auto"/>
        <w:rPr>
          <w:b/>
        </w:rPr>
      </w:pPr>
      <w:r w:rsidRPr="00E15A49">
        <w:lastRenderedPageBreak/>
        <w:t xml:space="preserve">If a tag is to be stored for later use, </w:t>
      </w:r>
      <w:r w:rsidR="00EE59F6">
        <w:t xml:space="preserve">it </w:t>
      </w:r>
      <w:r w:rsidR="001E7B24">
        <w:t xml:space="preserve">shall be possible to </w:t>
      </w:r>
      <w:r w:rsidR="004835F9">
        <w:t xml:space="preserve">deactivate the tag in order </w:t>
      </w:r>
      <w:r w:rsidRPr="00E15A49">
        <w:t>to extend battery life</w:t>
      </w:r>
      <w:r w:rsidR="0003237C">
        <w:t xml:space="preserve">. </w:t>
      </w:r>
      <w:r w:rsidRPr="00E15A49">
        <w:t xml:space="preserve"> Deactivated</w:t>
      </w:r>
      <w:r w:rsidR="00E15A49" w:rsidRPr="00E15A49">
        <w:t xml:space="preserve"> </w:t>
      </w:r>
      <w:r w:rsidRPr="00E15A49">
        <w:t>tags</w:t>
      </w:r>
      <w:r w:rsidR="00EE59F6">
        <w:t xml:space="preserve"> shall</w:t>
      </w:r>
      <w:r w:rsidRPr="00E15A49">
        <w:t xml:space="preserve"> have a shelf life of 10 years. Each tag </w:t>
      </w:r>
      <w:r w:rsidR="004835F9">
        <w:t>shall include</w:t>
      </w:r>
      <w:r w:rsidRPr="00E15A49">
        <w:t xml:space="preserve"> an LED at</w:t>
      </w:r>
      <w:r w:rsidR="00E15A49" w:rsidRPr="00E15A49">
        <w:t xml:space="preserve"> </w:t>
      </w:r>
      <w:r w:rsidRPr="00E15A49">
        <w:t>the lower right hand corner of the tag to indicate whether</w:t>
      </w:r>
      <w:r w:rsidR="00E15A49" w:rsidRPr="00E15A49">
        <w:t xml:space="preserve"> </w:t>
      </w:r>
      <w:r w:rsidRPr="00E15A49">
        <w:t>a tag is deactivated.</w:t>
      </w:r>
      <w:r w:rsidR="00780EB5">
        <w:t xml:space="preserve">  </w:t>
      </w:r>
      <w:r w:rsidR="0003237C" w:rsidRPr="0003237C">
        <w:rPr>
          <w:b/>
        </w:rPr>
        <w:t xml:space="preserve">Systems that do not allow the </w:t>
      </w:r>
      <w:r w:rsidR="00780EB5" w:rsidRPr="0003237C">
        <w:rPr>
          <w:b/>
        </w:rPr>
        <w:t>deactivat</w:t>
      </w:r>
      <w:r w:rsidR="0003237C" w:rsidRPr="0003237C">
        <w:rPr>
          <w:b/>
        </w:rPr>
        <w:t>ion of</w:t>
      </w:r>
      <w:r w:rsidR="00780EB5" w:rsidRPr="0003237C">
        <w:rPr>
          <w:b/>
        </w:rPr>
        <w:t xml:space="preserve"> tags to preserve battery life</w:t>
      </w:r>
      <w:r w:rsidR="0003237C" w:rsidRPr="0003237C">
        <w:rPr>
          <w:b/>
        </w:rPr>
        <w:t xml:space="preserve"> </w:t>
      </w:r>
      <w:r w:rsidR="00780EB5" w:rsidRPr="0003237C">
        <w:rPr>
          <w:b/>
        </w:rPr>
        <w:t>shall not be accepta</w:t>
      </w:r>
      <w:r w:rsidR="00780EB5" w:rsidRPr="00B81A33">
        <w:rPr>
          <w:b/>
        </w:rPr>
        <w:t>ble.</w:t>
      </w:r>
    </w:p>
    <w:p w14:paraId="56D11EA7" w14:textId="77777777" w:rsidR="00FB0C45" w:rsidRDefault="00AB0C94" w:rsidP="00E15A49">
      <w:pPr>
        <w:pStyle w:val="BodyText"/>
        <w:spacing w:line="276" w:lineRule="auto"/>
      </w:pPr>
      <w:r w:rsidRPr="00E15A49">
        <w:t>Tags are attached using a vinyl band reinforced with nylon</w:t>
      </w:r>
      <w:r w:rsidR="00E15A49" w:rsidRPr="00E15A49">
        <w:t xml:space="preserve"> </w:t>
      </w:r>
      <w:r w:rsidRPr="00E15A49">
        <w:t xml:space="preserve">mesh. The band </w:t>
      </w:r>
      <w:r w:rsidR="00B81A33">
        <w:t>shall be</w:t>
      </w:r>
      <w:r w:rsidRPr="00E15A49">
        <w:t xml:space="preserve"> designed to resist tearing by pulling or</w:t>
      </w:r>
      <w:r w:rsidR="00E15A49" w:rsidRPr="00E15A49">
        <w:t xml:space="preserve"> </w:t>
      </w:r>
      <w:r w:rsidRPr="00E15A49">
        <w:t xml:space="preserve">chewing. </w:t>
      </w:r>
      <w:r w:rsidR="00780EB5">
        <w:t xml:space="preserve">Replacement bands shall be </w:t>
      </w:r>
      <w:r w:rsidR="00B81A33">
        <w:t>available as k</w:t>
      </w:r>
      <w:r w:rsidRPr="00E15A49">
        <w:t xml:space="preserve">its </w:t>
      </w:r>
      <w:r w:rsidR="00B81A33">
        <w:t xml:space="preserve">and </w:t>
      </w:r>
      <w:r w:rsidRPr="00E15A49">
        <w:t xml:space="preserve">available </w:t>
      </w:r>
      <w:r w:rsidR="0003237C">
        <w:t>to</w:t>
      </w:r>
      <w:r w:rsidR="00B81A33">
        <w:t xml:space="preserve"> reus</w:t>
      </w:r>
      <w:r w:rsidR="0003237C">
        <w:t>e</w:t>
      </w:r>
      <w:r w:rsidR="00B81A33">
        <w:t xml:space="preserve"> tags</w:t>
      </w:r>
      <w:r w:rsidRPr="00E15A49">
        <w:t>.</w:t>
      </w:r>
    </w:p>
    <w:p w14:paraId="2F91D8A4" w14:textId="77777777" w:rsidR="00EE59F6" w:rsidRPr="00EE59F6" w:rsidRDefault="00EE59F6" w:rsidP="00E15A49">
      <w:pPr>
        <w:pStyle w:val="BodyText"/>
        <w:spacing w:line="276" w:lineRule="auto"/>
        <w:rPr>
          <w:b/>
        </w:rPr>
      </w:pPr>
      <w:r w:rsidRPr="00EE59F6">
        <w:rPr>
          <w:b/>
        </w:rPr>
        <w:t>The Resident Tag shall be TekTone</w:t>
      </w:r>
      <w:r w:rsidR="004917CC" w:rsidRPr="00C60071">
        <w:rPr>
          <w:b/>
          <w:vertAlign w:val="superscript"/>
        </w:rPr>
        <w:t>®</w:t>
      </w:r>
      <w:r w:rsidRPr="00EE59F6">
        <w:rPr>
          <w:b/>
        </w:rPr>
        <w:t xml:space="preserve"> SF701; The Asset Tag shall be </w:t>
      </w:r>
      <w:r w:rsidR="00C60071" w:rsidRPr="00C60071">
        <w:rPr>
          <w:b/>
        </w:rPr>
        <w:t>TekTone</w:t>
      </w:r>
      <w:r w:rsidR="00C60071" w:rsidRPr="00C60071">
        <w:rPr>
          <w:b/>
          <w:vertAlign w:val="superscript"/>
        </w:rPr>
        <w:t>®</w:t>
      </w:r>
      <w:r w:rsidR="00C60071" w:rsidRPr="00C60071">
        <w:rPr>
          <w:b/>
        </w:rPr>
        <w:t xml:space="preserve"> </w:t>
      </w:r>
      <w:r w:rsidRPr="00EE59F6">
        <w:rPr>
          <w:b/>
        </w:rPr>
        <w:t>SF702.</w:t>
      </w:r>
      <w:r w:rsidR="00413490">
        <w:rPr>
          <w:b/>
        </w:rPr>
        <w:t xml:space="preserve">  Replacement tag band kits (5 each) shall be RP702K.</w:t>
      </w:r>
    </w:p>
    <w:p w14:paraId="0930DB9B" w14:textId="77777777" w:rsidR="00E64354" w:rsidRPr="00C249C9" w:rsidRDefault="00E15A49" w:rsidP="00E64354">
      <w:pPr>
        <w:pStyle w:val="Heading2"/>
      </w:pPr>
      <w:r>
        <w:t>Indoor and Outdoor Keypads</w:t>
      </w:r>
    </w:p>
    <w:p w14:paraId="32657C7C" w14:textId="77777777" w:rsidR="00E15A49" w:rsidRPr="00E15A49" w:rsidRDefault="00E15A49" w:rsidP="00E15A49">
      <w:pPr>
        <w:pStyle w:val="BodyText"/>
        <w:spacing w:line="276" w:lineRule="auto"/>
      </w:pPr>
      <w:r w:rsidRPr="00E15A49">
        <w:t xml:space="preserve">There </w:t>
      </w:r>
      <w:r w:rsidR="00D45140">
        <w:t>shall be</w:t>
      </w:r>
      <w:r w:rsidR="00A7087C">
        <w:t xml:space="preserve"> two keypad versions </w:t>
      </w:r>
      <w:r w:rsidRPr="00E15A49">
        <w:t xml:space="preserve">available for use with the </w:t>
      </w:r>
      <w:r w:rsidR="00F16174">
        <w:t>Wander Management System</w:t>
      </w:r>
      <w:r w:rsidRPr="00E15A49">
        <w:t xml:space="preserve">. The Indoor Keypad is used to reset alarms and escort residents through monitored doors. Unique access codes are programmable </w:t>
      </w:r>
      <w:r w:rsidR="00AE44BC">
        <w:t xml:space="preserve">directly on the keypad. It </w:t>
      </w:r>
      <w:r w:rsidR="00642696">
        <w:t xml:space="preserve">shall </w:t>
      </w:r>
      <w:r w:rsidRPr="00E15A49">
        <w:t>include 3 LEDs to indicate door controller and alarm status, as well as a plastic backbox that is used to surface mount the keypad.</w:t>
      </w:r>
    </w:p>
    <w:p w14:paraId="7A657D35" w14:textId="77777777" w:rsidR="00E15A49" w:rsidRPr="00E15A49" w:rsidRDefault="00E15A49" w:rsidP="00E15A49">
      <w:pPr>
        <w:pStyle w:val="BodyText"/>
        <w:spacing w:line="276" w:lineRule="auto"/>
      </w:pPr>
      <w:r w:rsidRPr="00E15A49">
        <w:t xml:space="preserve">The Outdoor Keypad </w:t>
      </w:r>
      <w:r w:rsidR="00AE44BC">
        <w:t>shall have the same</w:t>
      </w:r>
      <w:r w:rsidRPr="00E15A49">
        <w:t xml:space="preserve"> functional</w:t>
      </w:r>
      <w:r w:rsidR="00AE44BC">
        <w:t>ity</w:t>
      </w:r>
      <w:r w:rsidRPr="00E15A49">
        <w:t xml:space="preserve"> as the </w:t>
      </w:r>
      <w:r w:rsidR="00A7087C">
        <w:t>indoor</w:t>
      </w:r>
      <w:r w:rsidR="00642696">
        <w:t xml:space="preserve"> keypad</w:t>
      </w:r>
      <w:r w:rsidRPr="00E15A49">
        <w:t xml:space="preserve">, but is a weather-resistant keypad suitable for exterior mounting. It </w:t>
      </w:r>
      <w:r w:rsidR="00642696">
        <w:t>shall include</w:t>
      </w:r>
      <w:r w:rsidRPr="00E15A49">
        <w:t xml:space="preserve"> a surface-mount steel backbox designed for rough service, as well as silicone gaskets to ensure that the keypad is protected in wet environments.</w:t>
      </w:r>
    </w:p>
    <w:p w14:paraId="22814421" w14:textId="77777777" w:rsidR="003F463A" w:rsidRDefault="00E15A49" w:rsidP="00E15A49">
      <w:pPr>
        <w:pStyle w:val="BodyText"/>
        <w:spacing w:line="276" w:lineRule="auto"/>
      </w:pPr>
      <w:r w:rsidRPr="00E15A49">
        <w:t xml:space="preserve">Both keypads </w:t>
      </w:r>
      <w:r w:rsidR="00642696">
        <w:t xml:space="preserve">shall </w:t>
      </w:r>
      <w:r w:rsidRPr="00E15A49">
        <w:t>have two internal relays that allow two s</w:t>
      </w:r>
      <w:r w:rsidR="00642696">
        <w:t xml:space="preserve">eparate codes to be programmed. </w:t>
      </w:r>
    </w:p>
    <w:p w14:paraId="541F72CA" w14:textId="77777777" w:rsidR="00AE44BC" w:rsidRDefault="00AE44BC" w:rsidP="00E15A49">
      <w:pPr>
        <w:pStyle w:val="BodyText"/>
        <w:spacing w:line="276" w:lineRule="auto"/>
        <w:rPr>
          <w:b/>
        </w:rPr>
      </w:pPr>
      <w:r w:rsidRPr="00AE44BC">
        <w:rPr>
          <w:b/>
        </w:rPr>
        <w:t xml:space="preserve">The </w:t>
      </w:r>
      <w:r w:rsidR="003D5E12">
        <w:rPr>
          <w:b/>
        </w:rPr>
        <w:t>Indoor</w:t>
      </w:r>
      <w:r w:rsidRPr="00AE44BC">
        <w:rPr>
          <w:b/>
        </w:rPr>
        <w:t xml:space="preserve"> Keypad shall be </w:t>
      </w:r>
      <w:r w:rsidR="00C60071" w:rsidRPr="00C60071">
        <w:rPr>
          <w:b/>
        </w:rPr>
        <w:t>TekTone</w:t>
      </w:r>
      <w:r w:rsidR="00C60071" w:rsidRPr="00C60071">
        <w:rPr>
          <w:b/>
          <w:vertAlign w:val="superscript"/>
        </w:rPr>
        <w:t>®</w:t>
      </w:r>
      <w:r w:rsidR="00C60071" w:rsidRPr="00C60071">
        <w:rPr>
          <w:b/>
        </w:rPr>
        <w:t xml:space="preserve"> </w:t>
      </w:r>
      <w:r w:rsidRPr="00AE44BC">
        <w:rPr>
          <w:b/>
        </w:rPr>
        <w:t xml:space="preserve">NC703; the </w:t>
      </w:r>
      <w:r w:rsidR="003D5E12">
        <w:rPr>
          <w:b/>
        </w:rPr>
        <w:t>Outdoor</w:t>
      </w:r>
      <w:r w:rsidRPr="00AE44BC">
        <w:rPr>
          <w:b/>
        </w:rPr>
        <w:t xml:space="preserve"> Keypad shall be </w:t>
      </w:r>
      <w:r w:rsidR="00C60071" w:rsidRPr="00C60071">
        <w:rPr>
          <w:b/>
        </w:rPr>
        <w:t>TekTone</w:t>
      </w:r>
      <w:r w:rsidR="00C60071" w:rsidRPr="00C60071">
        <w:rPr>
          <w:b/>
          <w:vertAlign w:val="superscript"/>
        </w:rPr>
        <w:t>®</w:t>
      </w:r>
      <w:r w:rsidR="00C60071" w:rsidRPr="00C60071">
        <w:rPr>
          <w:b/>
        </w:rPr>
        <w:t xml:space="preserve"> </w:t>
      </w:r>
      <w:r w:rsidRPr="00AE44BC">
        <w:rPr>
          <w:b/>
        </w:rPr>
        <w:t>NC707.</w:t>
      </w:r>
    </w:p>
    <w:p w14:paraId="55839030" w14:textId="77777777" w:rsidR="00E64354" w:rsidRPr="00C249C9" w:rsidRDefault="00C530B5" w:rsidP="00E64354">
      <w:pPr>
        <w:pStyle w:val="Heading2"/>
      </w:pPr>
      <w:r>
        <w:t>Keypads with Display</w:t>
      </w:r>
    </w:p>
    <w:p w14:paraId="333F755A" w14:textId="77777777" w:rsidR="00C530B5" w:rsidRPr="00B33058" w:rsidRDefault="00C530B5" w:rsidP="00B33058">
      <w:pPr>
        <w:pStyle w:val="BodyText"/>
        <w:spacing w:line="276" w:lineRule="auto"/>
      </w:pPr>
      <w:r w:rsidRPr="00B33058">
        <w:t xml:space="preserve">The </w:t>
      </w:r>
      <w:r w:rsidR="00AE44BC">
        <w:t>s</w:t>
      </w:r>
      <w:r w:rsidRPr="00B33058">
        <w:t xml:space="preserve">urface </w:t>
      </w:r>
      <w:r w:rsidR="00AE44BC">
        <w:t>or f</w:t>
      </w:r>
      <w:r w:rsidRPr="00B33058">
        <w:t xml:space="preserve">lush </w:t>
      </w:r>
      <w:r w:rsidR="00AE44BC">
        <w:t>m</w:t>
      </w:r>
      <w:r w:rsidRPr="00B33058">
        <w:t xml:space="preserve">ount Keypads with Display </w:t>
      </w:r>
      <w:r w:rsidR="009A5021">
        <w:t>shall be a</w:t>
      </w:r>
      <w:r w:rsidRPr="00B33058">
        <w:t xml:space="preserve"> combination LCD touchscreen and keypad designed to be used as a local annunciator for the </w:t>
      </w:r>
      <w:r w:rsidR="00F16174">
        <w:t>Wander Management System</w:t>
      </w:r>
      <w:r w:rsidRPr="00B33058">
        <w:t xml:space="preserve">. The LCD screen </w:t>
      </w:r>
      <w:r w:rsidR="001E79F7">
        <w:t xml:space="preserve">shall </w:t>
      </w:r>
      <w:r w:rsidRPr="00B33058">
        <w:t>display information about alarms and fau</w:t>
      </w:r>
      <w:r w:rsidR="004F4727">
        <w:t>lts generated by the connected door c</w:t>
      </w:r>
      <w:r w:rsidRPr="00B33058">
        <w:t>ontroller. The keypads are also used to reset alarms and escort residents through monitored doors. Unique access codes are programmable directly on the keypad. The keypads include 3 LEDs to indicate door controller and alarm status.</w:t>
      </w:r>
    </w:p>
    <w:p w14:paraId="2485D776" w14:textId="77777777" w:rsidR="00702084" w:rsidRDefault="00C530B5" w:rsidP="00B33058">
      <w:pPr>
        <w:pStyle w:val="BodyText"/>
        <w:spacing w:line="276" w:lineRule="auto"/>
      </w:pPr>
      <w:r w:rsidRPr="00B33058">
        <w:t xml:space="preserve">The keypads have two internal relays that allow two separate codes to be programmed; one for resetting alarms and escorting residents through monitored zones, and the other for allowing staff and visitors free movement through normally locked doors while still monitoring the area for residents.  The </w:t>
      </w:r>
      <w:r w:rsidR="00AE44BC" w:rsidRPr="00B33058">
        <w:t xml:space="preserve">Keypads with Display </w:t>
      </w:r>
      <w:r w:rsidRPr="00B33058">
        <w:t xml:space="preserve">are powered using the same transformer that powers the </w:t>
      </w:r>
      <w:r w:rsidR="004F4727">
        <w:t>door controller</w:t>
      </w:r>
      <w:r w:rsidRPr="00B33058">
        <w:t>.</w:t>
      </w:r>
    </w:p>
    <w:p w14:paraId="3DA79492" w14:textId="77777777" w:rsidR="001C3281" w:rsidRPr="001C3281" w:rsidRDefault="00AE44BC" w:rsidP="00184742">
      <w:pPr>
        <w:pStyle w:val="BodyText"/>
        <w:spacing w:line="276" w:lineRule="auto"/>
      </w:pPr>
      <w:r w:rsidRPr="00AE44BC">
        <w:rPr>
          <w:b/>
        </w:rPr>
        <w:t xml:space="preserve">The flush mount Keypad with Display shall be </w:t>
      </w:r>
      <w:proofErr w:type="spellStart"/>
      <w:r w:rsidR="00C60071" w:rsidRPr="00C60071">
        <w:rPr>
          <w:b/>
        </w:rPr>
        <w:t>TekTone</w:t>
      </w:r>
      <w:proofErr w:type="spellEnd"/>
      <w:r w:rsidR="00C60071" w:rsidRPr="00C60071">
        <w:rPr>
          <w:b/>
          <w:vertAlign w:val="superscript"/>
        </w:rPr>
        <w:t>®</w:t>
      </w:r>
      <w:r w:rsidR="00C60071" w:rsidRPr="00C60071">
        <w:rPr>
          <w:b/>
        </w:rPr>
        <w:t xml:space="preserve"> </w:t>
      </w:r>
      <w:r w:rsidRPr="00AE44BC">
        <w:rPr>
          <w:b/>
        </w:rPr>
        <w:t xml:space="preserve">NC709; the surface mount Keypad with Display shall be </w:t>
      </w:r>
      <w:proofErr w:type="spellStart"/>
      <w:r w:rsidR="00C60071" w:rsidRPr="00C60071">
        <w:rPr>
          <w:b/>
        </w:rPr>
        <w:t>TekTone</w:t>
      </w:r>
      <w:proofErr w:type="spellEnd"/>
      <w:r w:rsidR="00C60071" w:rsidRPr="00C60071">
        <w:rPr>
          <w:b/>
          <w:vertAlign w:val="superscript"/>
        </w:rPr>
        <w:t>®</w:t>
      </w:r>
      <w:r w:rsidR="00C60071" w:rsidRPr="00C60071">
        <w:rPr>
          <w:b/>
        </w:rPr>
        <w:t xml:space="preserve"> </w:t>
      </w:r>
      <w:r w:rsidRPr="00AE44BC">
        <w:rPr>
          <w:b/>
        </w:rPr>
        <w:t>NC711.</w:t>
      </w:r>
    </w:p>
    <w:p w14:paraId="60FB828C" w14:textId="77777777" w:rsidR="000E365F" w:rsidRDefault="00C530B5" w:rsidP="000E365F">
      <w:pPr>
        <w:pStyle w:val="Heading2"/>
      </w:pPr>
      <w:r>
        <w:t xml:space="preserve">Magnetic Switch </w:t>
      </w:r>
      <w:r w:rsidRPr="00B37DA3">
        <w:t>or Motion Detector</w:t>
      </w:r>
    </w:p>
    <w:p w14:paraId="2BCC2913" w14:textId="77777777" w:rsidR="00AA21FB" w:rsidRPr="00B33058" w:rsidRDefault="00B33058" w:rsidP="00B33058">
      <w:pPr>
        <w:pStyle w:val="BodyText"/>
        <w:spacing w:line="276" w:lineRule="auto"/>
        <w:rPr>
          <w:b/>
        </w:rPr>
      </w:pPr>
      <w:r w:rsidRPr="00B33058">
        <w:rPr>
          <w:b/>
        </w:rPr>
        <w:t>Magnetic door contact switch:</w:t>
      </w:r>
    </w:p>
    <w:p w14:paraId="52508D2D" w14:textId="77777777" w:rsidR="00B33058" w:rsidRDefault="00B33058" w:rsidP="00B33058">
      <w:pPr>
        <w:pStyle w:val="BodyText"/>
        <w:spacing w:line="276" w:lineRule="auto"/>
      </w:pPr>
      <w:r w:rsidRPr="00B33058">
        <w:t>The</w:t>
      </w:r>
      <w:r w:rsidR="00AC5FCF">
        <w:t xml:space="preserve"> magnetic</w:t>
      </w:r>
      <w:r w:rsidRPr="00B33058">
        <w:t xml:space="preserve"> </w:t>
      </w:r>
      <w:r w:rsidR="00074A68">
        <w:t>door contact</w:t>
      </w:r>
      <w:r w:rsidRPr="00B33058">
        <w:t xml:space="preserve"> </w:t>
      </w:r>
      <w:r w:rsidR="00AC5FCF">
        <w:t xml:space="preserve">shall be </w:t>
      </w:r>
      <w:r w:rsidRPr="00B33058">
        <w:t>a highly reliable magnetic</w:t>
      </w:r>
      <w:r>
        <w:t xml:space="preserve"> </w:t>
      </w:r>
      <w:r w:rsidRPr="00B33058">
        <w:t xml:space="preserve">reed switch used by the </w:t>
      </w:r>
      <w:r w:rsidR="004F4727">
        <w:t>d</w:t>
      </w:r>
      <w:r w:rsidRPr="00B33058">
        <w:t xml:space="preserve">oor </w:t>
      </w:r>
      <w:r w:rsidR="004F4727">
        <w:t>c</w:t>
      </w:r>
      <w:r w:rsidRPr="00B33058">
        <w:t>ontroller to monitor</w:t>
      </w:r>
      <w:r>
        <w:t xml:space="preserve"> </w:t>
      </w:r>
      <w:r w:rsidR="00AC5FCF">
        <w:t xml:space="preserve">the </w:t>
      </w:r>
      <w:r w:rsidRPr="00B33058">
        <w:t>door position.</w:t>
      </w:r>
      <w:r>
        <w:t xml:space="preserve">  </w:t>
      </w:r>
      <w:r w:rsidRPr="00B33058">
        <w:t>The switch is low profile for unobtrusive mounting and is</w:t>
      </w:r>
      <w:r>
        <w:t xml:space="preserve"> </w:t>
      </w:r>
      <w:r w:rsidRPr="00B33058">
        <w:t>provided with a plastic cover to hide the wiring connections.</w:t>
      </w:r>
      <w:r>
        <w:t xml:space="preserve">  </w:t>
      </w:r>
      <w:r w:rsidRPr="00B33058">
        <w:t>A plastic spacer is included for mounting the permanent</w:t>
      </w:r>
      <w:r>
        <w:t xml:space="preserve"> </w:t>
      </w:r>
      <w:r w:rsidRPr="00B33058">
        <w:lastRenderedPageBreak/>
        <w:t>magnet on a steel door.</w:t>
      </w:r>
      <w:r>
        <w:t xml:space="preserve">  </w:t>
      </w:r>
      <w:r w:rsidRPr="00B33058">
        <w:t>The</w:t>
      </w:r>
      <w:r w:rsidR="00B12FB7">
        <w:t xml:space="preserve"> magnetic door contact</w:t>
      </w:r>
      <w:r w:rsidRPr="00B33058">
        <w:t xml:space="preserve"> has a standard gap of 1</w:t>
      </w:r>
      <w:r>
        <w:t xml:space="preserve"> inch </w:t>
      </w:r>
      <w:r w:rsidRPr="00B33058">
        <w:t>between the switch</w:t>
      </w:r>
      <w:r>
        <w:t xml:space="preserve"> </w:t>
      </w:r>
      <w:r w:rsidRPr="00B33058">
        <w:t>and permanent magnet.</w:t>
      </w:r>
      <w:r>
        <w:t xml:space="preserve">  </w:t>
      </w:r>
    </w:p>
    <w:p w14:paraId="7744D7ED" w14:textId="77777777" w:rsidR="00B12FB7" w:rsidRDefault="00B12FB7" w:rsidP="00B12FB7">
      <w:pPr>
        <w:pStyle w:val="Heading2"/>
      </w:pPr>
      <w:r>
        <w:t>PIR Motion Detector</w:t>
      </w:r>
    </w:p>
    <w:p w14:paraId="271CA479" w14:textId="77777777" w:rsidR="00B33058" w:rsidRPr="00B37DA3" w:rsidRDefault="00B33058" w:rsidP="00B33058">
      <w:pPr>
        <w:pStyle w:val="BodyText"/>
        <w:spacing w:line="276" w:lineRule="auto"/>
        <w:rPr>
          <w:b/>
        </w:rPr>
      </w:pPr>
      <w:r w:rsidRPr="00B37DA3">
        <w:rPr>
          <w:b/>
        </w:rPr>
        <w:t>PIR Motion Detector:</w:t>
      </w:r>
    </w:p>
    <w:p w14:paraId="10DE75B9" w14:textId="77777777" w:rsidR="00B33058" w:rsidRPr="00B33058" w:rsidRDefault="00B33058" w:rsidP="00B33058">
      <w:pPr>
        <w:pStyle w:val="BodyText"/>
        <w:spacing w:line="276" w:lineRule="auto"/>
      </w:pPr>
      <w:r w:rsidRPr="00B33058">
        <w:t xml:space="preserve">The PIR (Passive Infrared) Motion Detector may be used to monitor entire hallways, elevator lobbies, or other open spaces for </w:t>
      </w:r>
      <w:r w:rsidR="003B0554">
        <w:t xml:space="preserve">patient ingress and egress. It </w:t>
      </w:r>
      <w:r w:rsidRPr="00B33058">
        <w:t>is used in areas where alarm activation is not desired immediately upon tag detection. It can also be used in areas, such as hallways or elevator doors, where a magnetic switch is not feasible.</w:t>
      </w:r>
    </w:p>
    <w:p w14:paraId="415703C9" w14:textId="77777777" w:rsidR="00B33058" w:rsidRDefault="00B33058" w:rsidP="00B33058">
      <w:pPr>
        <w:pStyle w:val="BodyText"/>
        <w:spacing w:line="276" w:lineRule="auto"/>
      </w:pPr>
      <w:r w:rsidRPr="00B33058">
        <w:t xml:space="preserve">The PIR Motion Detector </w:t>
      </w:r>
      <w:r w:rsidR="00AC5FCF">
        <w:t>shall have</w:t>
      </w:r>
      <w:r w:rsidRPr="00B33058">
        <w:t xml:space="preserve"> extended range Fresnel optics for consistent coverage throughout the protected area. The PIR motion detector includes a switch-selectable look down area to provide better coverage up close. It can be mounted easily on a wall or in a corner.</w:t>
      </w:r>
    </w:p>
    <w:p w14:paraId="42391E18" w14:textId="77777777" w:rsidR="003B0554" w:rsidRPr="003B0554" w:rsidRDefault="003B0554" w:rsidP="00B33058">
      <w:pPr>
        <w:pStyle w:val="BodyText"/>
        <w:spacing w:line="276" w:lineRule="auto"/>
        <w:rPr>
          <w:b/>
        </w:rPr>
      </w:pPr>
      <w:r w:rsidRPr="003B0554">
        <w:rPr>
          <w:b/>
        </w:rPr>
        <w:t xml:space="preserve">The PIR Motion Detector shall be </w:t>
      </w:r>
      <w:r w:rsidR="00C60071" w:rsidRPr="00C60071">
        <w:rPr>
          <w:b/>
        </w:rPr>
        <w:t>TekTone</w:t>
      </w:r>
      <w:r w:rsidR="00C60071" w:rsidRPr="00C60071">
        <w:rPr>
          <w:b/>
          <w:vertAlign w:val="superscript"/>
        </w:rPr>
        <w:t>®</w:t>
      </w:r>
      <w:r w:rsidR="00C60071" w:rsidRPr="00C60071">
        <w:rPr>
          <w:b/>
        </w:rPr>
        <w:t xml:space="preserve"> </w:t>
      </w:r>
      <w:r w:rsidRPr="003B0554">
        <w:rPr>
          <w:b/>
        </w:rPr>
        <w:t>SF703.</w:t>
      </w:r>
    </w:p>
    <w:p w14:paraId="24446406" w14:textId="77777777" w:rsidR="003676BC" w:rsidRDefault="003676BC" w:rsidP="006E55AD">
      <w:pPr>
        <w:pStyle w:val="Heading2"/>
      </w:pPr>
      <w:r>
        <w:t>Maglock</w:t>
      </w:r>
    </w:p>
    <w:p w14:paraId="6EBE03D5" w14:textId="77777777" w:rsidR="003676BC" w:rsidRPr="00821EA5" w:rsidRDefault="003676BC" w:rsidP="00821EA5">
      <w:pPr>
        <w:pStyle w:val="BodyText"/>
        <w:spacing w:line="276" w:lineRule="auto"/>
      </w:pPr>
      <w:r w:rsidRPr="00821EA5">
        <w:t>The Maglock eng</w:t>
      </w:r>
      <w:r w:rsidR="004F4727">
        <w:t>ages to lock the door when the door c</w:t>
      </w:r>
      <w:r w:rsidRPr="00821EA5">
        <w:t xml:space="preserve">ontroller detects an Resident Tag or an Asset Tag. The </w:t>
      </w:r>
      <w:r w:rsidR="005C52FE">
        <w:t>M</w:t>
      </w:r>
      <w:r w:rsidR="005C52FE" w:rsidRPr="00821EA5">
        <w:t xml:space="preserve">aglock </w:t>
      </w:r>
      <w:r w:rsidRPr="00821EA5">
        <w:t xml:space="preserve">remains engaged as long as the door controller detects a tag in its activation field. When the tag leaves the activation field, the </w:t>
      </w:r>
      <w:r w:rsidR="005C52FE">
        <w:t>M</w:t>
      </w:r>
      <w:r w:rsidR="005C52FE" w:rsidRPr="00821EA5">
        <w:t xml:space="preserve">aglock </w:t>
      </w:r>
      <w:r w:rsidR="00AC5FCF">
        <w:t xml:space="preserve">shall </w:t>
      </w:r>
      <w:r w:rsidRPr="00821EA5">
        <w:t>disengage after a selectable period of time (0–120 seconds).</w:t>
      </w:r>
    </w:p>
    <w:p w14:paraId="0AA5F16D" w14:textId="77777777" w:rsidR="003676BC" w:rsidRDefault="003676BC" w:rsidP="00821EA5">
      <w:pPr>
        <w:pStyle w:val="BodyText"/>
        <w:spacing w:line="276" w:lineRule="auto"/>
      </w:pPr>
      <w:r w:rsidRPr="00821EA5">
        <w:t>When using Maglock</w:t>
      </w:r>
      <w:r w:rsidR="00AC5FCF">
        <w:t>s,</w:t>
      </w:r>
      <w:r w:rsidR="00FA5AF2">
        <w:t xml:space="preserve"> a</w:t>
      </w:r>
      <w:r w:rsidRPr="00821EA5">
        <w:t xml:space="preserve"> Fire Panel Interface is required. This enables the </w:t>
      </w:r>
      <w:r w:rsidR="005C52FE">
        <w:t>M</w:t>
      </w:r>
      <w:r w:rsidRPr="00821EA5">
        <w:t xml:space="preserve">aglock to automatically disengage when the facility’s fire alarm is activated, allowing residents and staff to exit. The </w:t>
      </w:r>
      <w:r w:rsidR="005C52FE">
        <w:t>Maglock</w:t>
      </w:r>
      <w:r w:rsidRPr="00821EA5">
        <w:t xml:space="preserve"> will also disengage when power is lost.  The </w:t>
      </w:r>
      <w:r w:rsidR="005C52FE">
        <w:t>Maglock</w:t>
      </w:r>
      <w:r w:rsidRPr="00821EA5">
        <w:t xml:space="preserve"> </w:t>
      </w:r>
      <w:r w:rsidR="00AC5FCF">
        <w:t xml:space="preserve">shall </w:t>
      </w:r>
      <w:r w:rsidRPr="00821EA5">
        <w:t>incorporate delayed egress circuitry that complies with NFPA 101 Life Safety Codes 5-2.1.6.1. When a maintained force (less than 15 pounds required) is applied to the door for 1–</w:t>
      </w:r>
      <w:r w:rsidR="0000546E">
        <w:t>3</w:t>
      </w:r>
      <w:r w:rsidRPr="00821EA5">
        <w:t xml:space="preserve"> seconds, the lock will release</w:t>
      </w:r>
      <w:r w:rsidR="0000546E">
        <w:t xml:space="preserve"> after an audible countdown of 15 to 30 seconds</w:t>
      </w:r>
      <w:r w:rsidRPr="00821EA5">
        <w:t>. An audible tone annunciates both countdown and release.  When the lock releases, the red LED turns solid green</w:t>
      </w:r>
      <w:r w:rsidR="00A271C3">
        <w:t>,</w:t>
      </w:r>
      <w:r w:rsidRPr="00821EA5">
        <w:t xml:space="preserve"> and the alarm sounds continuously.  The </w:t>
      </w:r>
      <w:r w:rsidR="005C52FE">
        <w:t>Maglock</w:t>
      </w:r>
      <w:r w:rsidRPr="00821EA5">
        <w:t xml:space="preserve"> is specially designed for low current</w:t>
      </w:r>
      <w:r w:rsidR="00FA5AF2">
        <w:t xml:space="preserve"> </w:t>
      </w:r>
      <w:r w:rsidRPr="00821EA5">
        <w:t>consumption and easy integr</w:t>
      </w:r>
      <w:r w:rsidR="004F4727">
        <w:t>ation with the door c</w:t>
      </w:r>
      <w:r w:rsidRPr="00821EA5">
        <w:t>ontroller. It is powered by the door controller and doesn’t require secondary power.</w:t>
      </w:r>
    </w:p>
    <w:p w14:paraId="1B2B9D92" w14:textId="77777777" w:rsidR="00FA5AF2" w:rsidRPr="00FA5AF2" w:rsidRDefault="00FA5AF2" w:rsidP="00821EA5">
      <w:pPr>
        <w:pStyle w:val="BodyText"/>
        <w:spacing w:line="276" w:lineRule="auto"/>
        <w:rPr>
          <w:b/>
        </w:rPr>
      </w:pPr>
      <w:r w:rsidRPr="00FA5AF2">
        <w:rPr>
          <w:b/>
        </w:rPr>
        <w:t xml:space="preserve">The Maglock shall be </w:t>
      </w:r>
      <w:r w:rsidR="00C60071" w:rsidRPr="00C60071">
        <w:rPr>
          <w:b/>
        </w:rPr>
        <w:t>TekTone</w:t>
      </w:r>
      <w:r w:rsidR="00C60071" w:rsidRPr="00C60071">
        <w:rPr>
          <w:b/>
          <w:vertAlign w:val="superscript"/>
        </w:rPr>
        <w:t>®</w:t>
      </w:r>
      <w:r w:rsidR="00C60071" w:rsidRPr="00C60071">
        <w:rPr>
          <w:b/>
        </w:rPr>
        <w:t xml:space="preserve"> </w:t>
      </w:r>
      <w:r w:rsidRPr="00FA5AF2">
        <w:rPr>
          <w:b/>
        </w:rPr>
        <w:t>NC704.</w:t>
      </w:r>
    </w:p>
    <w:p w14:paraId="73489BA4" w14:textId="77777777" w:rsidR="00821EA5" w:rsidRDefault="00821EA5" w:rsidP="006E55AD">
      <w:pPr>
        <w:pStyle w:val="Heading2"/>
      </w:pPr>
      <w:r>
        <w:t>Elevator Deactivation Panel</w:t>
      </w:r>
    </w:p>
    <w:p w14:paraId="4387C5DC" w14:textId="77777777" w:rsidR="00821EA5" w:rsidRPr="00821EA5" w:rsidRDefault="00821EA5" w:rsidP="00821EA5">
      <w:pPr>
        <w:pStyle w:val="BodyText"/>
        <w:spacing w:line="276" w:lineRule="auto"/>
      </w:pPr>
      <w:r w:rsidRPr="00821EA5">
        <w:t xml:space="preserve">The Elevator Deactivation Panel is designed to prevent a tagged resident or asset from using an elevator to leave a monitored floor. The elevator company uses two relays inside the cabinet to interface with the </w:t>
      </w:r>
      <w:r w:rsidR="00F16174">
        <w:t>Wander Management System</w:t>
      </w:r>
      <w:r w:rsidR="00B46CA8">
        <w:t xml:space="preserve"> and</w:t>
      </w:r>
      <w:r w:rsidR="000B1CFD">
        <w:t xml:space="preserve"> the elevator</w:t>
      </w:r>
      <w:r w:rsidRPr="00821EA5">
        <w:t>.</w:t>
      </w:r>
    </w:p>
    <w:p w14:paraId="4ABE5653" w14:textId="77777777" w:rsidR="00746287" w:rsidRDefault="00821EA5" w:rsidP="00821EA5">
      <w:pPr>
        <w:pStyle w:val="BodyText"/>
        <w:spacing w:line="276" w:lineRule="auto"/>
      </w:pPr>
      <w:r w:rsidRPr="00821EA5">
        <w:t xml:space="preserve">If a tag enters a monitored elevator zone, the elevator call button is deactivated. Other floors are unaffected, and elevator cars can still arrive at the monitored floor.  If a tag is in the transmit field of the </w:t>
      </w:r>
      <w:r w:rsidR="004F4727">
        <w:t>door c</w:t>
      </w:r>
      <w:r w:rsidRPr="00821EA5">
        <w:t xml:space="preserve">ontroller while the elevator doors are open, or enters the transmit field while the elevator doors are open, an alarm sounds and the elevator doors will remain open, holding the car at the floor until the alarm is cleared. If the elevator car is in route to the monitored floor when a tag enters the transmit field of a door controller, the elevator will arrive on the floor, the doors will </w:t>
      </w:r>
      <w:r w:rsidR="00746287">
        <w:t xml:space="preserve">open, and an alarm will sound. </w:t>
      </w:r>
    </w:p>
    <w:p w14:paraId="030279FC" w14:textId="77777777" w:rsidR="00746287" w:rsidRDefault="00821EA5" w:rsidP="00821EA5">
      <w:pPr>
        <w:pStyle w:val="BodyText"/>
        <w:spacing w:line="276" w:lineRule="auto"/>
      </w:pPr>
      <w:r w:rsidRPr="00821EA5">
        <w:lastRenderedPageBreak/>
        <w:t>Dry contacts must be supplied by the elevator company to monitor the elevator car door. 12 VDC alarm voltage energizes the K1 Relay to deactivate the elevator car when a tag is detected and the elevator door is open. If a door</w:t>
      </w:r>
      <w:r w:rsidR="00B24186">
        <w:t xml:space="preserve"> </w:t>
      </w:r>
      <w:r w:rsidR="00746287">
        <w:t xml:space="preserve">contact is not available, a </w:t>
      </w:r>
      <w:r w:rsidRPr="00821EA5">
        <w:t xml:space="preserve">PIR Motion Detector may be used to monitor the area in front of the elevator door.  12 VDC Tag Detect Voltage energizes the K2 Relay to deactivate the call button when a tag is detected by the door controller. </w:t>
      </w:r>
    </w:p>
    <w:p w14:paraId="110E6522" w14:textId="77777777" w:rsidR="00821EA5" w:rsidRPr="00746287" w:rsidRDefault="00746287" w:rsidP="00821EA5">
      <w:pPr>
        <w:pStyle w:val="BodyText"/>
        <w:spacing w:line="276" w:lineRule="auto"/>
        <w:rPr>
          <w:b/>
        </w:rPr>
      </w:pPr>
      <w:r w:rsidRPr="00746287">
        <w:rPr>
          <w:b/>
        </w:rPr>
        <w:t xml:space="preserve">The Elevator Deactivation Panel shall be </w:t>
      </w:r>
      <w:r w:rsidR="00C60071" w:rsidRPr="00C60071">
        <w:rPr>
          <w:b/>
        </w:rPr>
        <w:t>TekTone</w:t>
      </w:r>
      <w:r w:rsidR="00C60071" w:rsidRPr="00C60071">
        <w:rPr>
          <w:b/>
          <w:vertAlign w:val="superscript"/>
        </w:rPr>
        <w:t>®</w:t>
      </w:r>
      <w:r w:rsidR="00C60071" w:rsidRPr="00C60071">
        <w:rPr>
          <w:b/>
        </w:rPr>
        <w:t xml:space="preserve"> </w:t>
      </w:r>
      <w:r w:rsidRPr="00746287">
        <w:rPr>
          <w:b/>
        </w:rPr>
        <w:t>NC705.</w:t>
      </w:r>
    </w:p>
    <w:p w14:paraId="704A7FC0" w14:textId="77777777" w:rsidR="00821EA5" w:rsidRDefault="00821EA5" w:rsidP="006E55AD">
      <w:pPr>
        <w:pStyle w:val="Heading2"/>
      </w:pPr>
      <w:r>
        <w:t>Fire Panel Interface</w:t>
      </w:r>
    </w:p>
    <w:p w14:paraId="7513D4A5" w14:textId="77777777" w:rsidR="00821EA5" w:rsidRPr="009F3EF7" w:rsidRDefault="00821EA5" w:rsidP="009F3EF7">
      <w:pPr>
        <w:pStyle w:val="BodyText"/>
        <w:spacing w:line="276" w:lineRule="auto"/>
      </w:pPr>
      <w:r w:rsidRPr="009F3EF7">
        <w:t>The Fire Panel Interface (FPI) is designed to deactivate all Maglocks and Elevator</w:t>
      </w:r>
      <w:r w:rsidR="00746287">
        <w:t xml:space="preserve"> </w:t>
      </w:r>
      <w:r w:rsidRPr="009F3EF7">
        <w:t xml:space="preserve">Deactivation Panels in the event of a fire alarm or loss of fire panel functionality. Audio and visual alerts on the </w:t>
      </w:r>
      <w:r w:rsidR="00F16174">
        <w:t>Wander Management System</w:t>
      </w:r>
      <w:r w:rsidRPr="009F3EF7">
        <w:t xml:space="preserve"> remain operational while door restraints are disabled.</w:t>
      </w:r>
    </w:p>
    <w:p w14:paraId="14D1AD5D" w14:textId="77777777" w:rsidR="00746287" w:rsidRDefault="00821EA5" w:rsidP="009F3EF7">
      <w:pPr>
        <w:pStyle w:val="BodyText"/>
        <w:spacing w:line="276" w:lineRule="auto"/>
      </w:pPr>
      <w:r w:rsidRPr="009F3EF7">
        <w:t>Each FPI is capable of interfacing with up to eight</w:t>
      </w:r>
      <w:r w:rsidR="009F3EF7" w:rsidRPr="009F3EF7">
        <w:t xml:space="preserve"> </w:t>
      </w:r>
      <w:r w:rsidR="004F4727">
        <w:t>d</w:t>
      </w:r>
      <w:r w:rsidRPr="009F3EF7">
        <w:t xml:space="preserve">oor </w:t>
      </w:r>
      <w:r w:rsidR="004F4727">
        <w:t>c</w:t>
      </w:r>
      <w:r w:rsidRPr="009F3EF7">
        <w:t>ontrollers.</w:t>
      </w:r>
      <w:r w:rsidR="009F3EF7" w:rsidRPr="009F3EF7">
        <w:t xml:space="preserve"> </w:t>
      </w:r>
      <w:r w:rsidRPr="009F3EF7">
        <w:t>The Fire Panel Interface requires a normally closed</w:t>
      </w:r>
      <w:r w:rsidR="009F3EF7" w:rsidRPr="009F3EF7">
        <w:t xml:space="preserve"> </w:t>
      </w:r>
      <w:r w:rsidRPr="009F3EF7">
        <w:t>contact from the facility’s Fire Alarm Control Panel that</w:t>
      </w:r>
      <w:r w:rsidR="009F3EF7" w:rsidRPr="009F3EF7">
        <w:t xml:space="preserve"> </w:t>
      </w:r>
      <w:r w:rsidRPr="009F3EF7">
        <w:t>goes open when a fire alarm is sounded. The contact must</w:t>
      </w:r>
      <w:r w:rsidR="009F3EF7" w:rsidRPr="009F3EF7">
        <w:t xml:space="preserve"> </w:t>
      </w:r>
      <w:r w:rsidRPr="009F3EF7">
        <w:t>also open if the fire panel becomes inoperable.</w:t>
      </w:r>
      <w:r w:rsidR="009F3EF7" w:rsidRPr="009F3EF7">
        <w:t xml:space="preserve">  </w:t>
      </w:r>
      <w:r w:rsidRPr="009F3EF7">
        <w:t>The Reset button on the front of the housing is used to</w:t>
      </w:r>
      <w:r w:rsidR="009F3EF7" w:rsidRPr="009F3EF7">
        <w:t xml:space="preserve"> </w:t>
      </w:r>
      <w:r w:rsidRPr="009F3EF7">
        <w:t>re-enable any connected Maglocks and Elevator Deactivation Units once the fire alarm has been</w:t>
      </w:r>
      <w:r w:rsidR="009F3EF7" w:rsidRPr="009F3EF7">
        <w:t xml:space="preserve"> </w:t>
      </w:r>
      <w:r w:rsidRPr="009F3EF7">
        <w:t>cleared. If desired, this reset button may be replaced with</w:t>
      </w:r>
      <w:r w:rsidR="009F3EF7" w:rsidRPr="009F3EF7">
        <w:t xml:space="preserve"> </w:t>
      </w:r>
      <w:r w:rsidRPr="009F3EF7">
        <w:t>a jumper to provide automatic reset once the fire alarm</w:t>
      </w:r>
      <w:r w:rsidR="009F3EF7" w:rsidRPr="009F3EF7">
        <w:t xml:space="preserve"> </w:t>
      </w:r>
      <w:r w:rsidRPr="009F3EF7">
        <w:t>has been cleared.</w:t>
      </w:r>
      <w:r w:rsidR="009F3EF7" w:rsidRPr="009F3EF7">
        <w:t xml:space="preserve">  </w:t>
      </w:r>
    </w:p>
    <w:p w14:paraId="4AF48028" w14:textId="77777777" w:rsidR="00746287" w:rsidRPr="00C60071" w:rsidRDefault="004A3B86" w:rsidP="009F3EF7">
      <w:pPr>
        <w:pStyle w:val="BodyText"/>
        <w:spacing w:line="276" w:lineRule="auto"/>
        <w:rPr>
          <w:b/>
        </w:rPr>
      </w:pPr>
      <w:r>
        <w:rPr>
          <w:b/>
        </w:rPr>
        <w:t>The Fire Interface P</w:t>
      </w:r>
      <w:r w:rsidR="00746287" w:rsidRPr="00C60071">
        <w:rPr>
          <w:b/>
        </w:rPr>
        <w:t>anel shall be</w:t>
      </w:r>
      <w:r w:rsidR="00C60071" w:rsidRPr="00C60071">
        <w:rPr>
          <w:b/>
        </w:rPr>
        <w:t xml:space="preserve"> TekTone</w:t>
      </w:r>
      <w:r w:rsidR="00C60071" w:rsidRPr="00C60071">
        <w:rPr>
          <w:b/>
          <w:vertAlign w:val="superscript"/>
        </w:rPr>
        <w:t>®</w:t>
      </w:r>
      <w:r w:rsidR="00C60071" w:rsidRPr="00C60071">
        <w:rPr>
          <w:b/>
        </w:rPr>
        <w:t xml:space="preserve"> </w:t>
      </w:r>
      <w:r w:rsidR="00746287" w:rsidRPr="00C60071">
        <w:rPr>
          <w:b/>
        </w:rPr>
        <w:t>NC706.</w:t>
      </w:r>
    </w:p>
    <w:p w14:paraId="20E5614A" w14:textId="77777777" w:rsidR="009F3EF7" w:rsidRDefault="009F3EF7" w:rsidP="006E55AD">
      <w:pPr>
        <w:pStyle w:val="Heading2"/>
      </w:pPr>
      <w:r>
        <w:t>Transformers</w:t>
      </w:r>
    </w:p>
    <w:p w14:paraId="1AD216CC" w14:textId="77777777" w:rsidR="007E06CC" w:rsidRPr="007E06CC" w:rsidRDefault="007E06CC" w:rsidP="002B1BD2">
      <w:pPr>
        <w:pStyle w:val="BodyText"/>
        <w:spacing w:after="0" w:line="276" w:lineRule="auto"/>
        <w:rPr>
          <w:b/>
        </w:rPr>
      </w:pPr>
      <w:r w:rsidRPr="007E06CC">
        <w:rPr>
          <w:b/>
        </w:rPr>
        <w:t>15 Volt Transformer</w:t>
      </w:r>
      <w:r w:rsidR="00746287">
        <w:rPr>
          <w:b/>
        </w:rPr>
        <w:t>s</w:t>
      </w:r>
    </w:p>
    <w:p w14:paraId="08C14B75" w14:textId="77777777" w:rsidR="002A0929" w:rsidRDefault="009F3EF7" w:rsidP="009F3EF7">
      <w:pPr>
        <w:pStyle w:val="BodyText"/>
        <w:spacing w:line="276" w:lineRule="auto"/>
      </w:pPr>
      <w:r w:rsidRPr="009F3EF7">
        <w:t>Transformer</w:t>
      </w:r>
      <w:r w:rsidR="002A0929">
        <w:t xml:space="preserve"> options shall be available</w:t>
      </w:r>
      <w:r w:rsidR="00A271C3">
        <w:t xml:space="preserve">; </w:t>
      </w:r>
      <w:r w:rsidR="002A0929">
        <w:t xml:space="preserve"> a</w:t>
      </w:r>
      <w:r w:rsidRPr="009F3EF7">
        <w:t xml:space="preserve"> 2A </w:t>
      </w:r>
      <w:r w:rsidR="002A0929">
        <w:t xml:space="preserve">at 15VDC and </w:t>
      </w:r>
      <w:r w:rsidR="00A271C3">
        <w:t xml:space="preserve">a </w:t>
      </w:r>
      <w:r w:rsidR="002A0929" w:rsidRPr="009F3EF7">
        <w:t>6A at 15VDC</w:t>
      </w:r>
      <w:r w:rsidR="002A0929">
        <w:t>.</w:t>
      </w:r>
      <w:r w:rsidRPr="009F3EF7">
        <w:t xml:space="preserve"> </w:t>
      </w:r>
    </w:p>
    <w:p w14:paraId="7A787595" w14:textId="77777777" w:rsidR="009F3EF7" w:rsidRPr="009F3EF7" w:rsidRDefault="009F3EF7" w:rsidP="009F3EF7">
      <w:pPr>
        <w:pStyle w:val="BodyText"/>
        <w:spacing w:line="276" w:lineRule="auto"/>
      </w:pPr>
      <w:r w:rsidRPr="009F3EF7">
        <w:t xml:space="preserve">Each </w:t>
      </w:r>
      <w:r w:rsidR="002A0929">
        <w:t>2A t</w:t>
      </w:r>
      <w:r w:rsidRPr="009F3EF7">
        <w:t xml:space="preserve">ransformer </w:t>
      </w:r>
      <w:r w:rsidR="002A0929">
        <w:t>shall be capable of</w:t>
      </w:r>
      <w:r w:rsidRPr="009F3EF7">
        <w:t xml:space="preserve"> power</w:t>
      </w:r>
      <w:r w:rsidR="002A0929">
        <w:t>ing</w:t>
      </w:r>
      <w:r w:rsidRPr="009F3EF7">
        <w:t xml:space="preserve"> one </w:t>
      </w:r>
      <w:r w:rsidR="004F4727" w:rsidRPr="00821EA5">
        <w:t>door controller</w:t>
      </w:r>
      <w:r w:rsidR="004F4727" w:rsidRPr="009F3EF7">
        <w:t xml:space="preserve"> </w:t>
      </w:r>
      <w:r w:rsidRPr="009F3EF7">
        <w:t>and its peripherals: two keypad</w:t>
      </w:r>
      <w:r w:rsidR="002A0929">
        <w:t>s,</w:t>
      </w:r>
      <w:r w:rsidRPr="009F3EF7">
        <w:t xml:space="preserve"> two Maglocks, and a combination of two Magnetic Switches or PIR Motion Detectors.</w:t>
      </w:r>
    </w:p>
    <w:p w14:paraId="7A43CA2A" w14:textId="77777777" w:rsidR="009F3EF7" w:rsidRDefault="002A0929" w:rsidP="009F3EF7">
      <w:pPr>
        <w:pStyle w:val="BodyText"/>
        <w:spacing w:line="276" w:lineRule="auto"/>
      </w:pPr>
      <w:r w:rsidRPr="009F3EF7">
        <w:t xml:space="preserve">Each </w:t>
      </w:r>
      <w:r>
        <w:t>6A t</w:t>
      </w:r>
      <w:r w:rsidRPr="009F3EF7">
        <w:t xml:space="preserve">ransformer </w:t>
      </w:r>
      <w:r>
        <w:t>shall be capable of</w:t>
      </w:r>
      <w:r w:rsidRPr="009F3EF7">
        <w:t xml:space="preserve"> power</w:t>
      </w:r>
      <w:r>
        <w:t>ing</w:t>
      </w:r>
      <w:r w:rsidRPr="009F3EF7">
        <w:t xml:space="preserve"> </w:t>
      </w:r>
      <w:r w:rsidR="009F3EF7" w:rsidRPr="009F3EF7">
        <w:t xml:space="preserve">three </w:t>
      </w:r>
      <w:r w:rsidR="004F4727" w:rsidRPr="00821EA5">
        <w:t xml:space="preserve">door </w:t>
      </w:r>
      <w:r w:rsidR="00B37DA3" w:rsidRPr="00821EA5">
        <w:t>controllers</w:t>
      </w:r>
      <w:r w:rsidR="009F3EF7" w:rsidRPr="009F3EF7">
        <w:t xml:space="preserve"> and </w:t>
      </w:r>
      <w:r>
        <w:t>their peripherals: six keypads</w:t>
      </w:r>
      <w:r w:rsidR="009F3EF7" w:rsidRPr="009F3EF7">
        <w:t>, six Maglocks, and a combination of six Magnetic Switches or PIR Motion Detectors.</w:t>
      </w:r>
    </w:p>
    <w:p w14:paraId="15AFA2F9" w14:textId="77777777" w:rsidR="009F3EF7" w:rsidRDefault="009F3EF7" w:rsidP="009F3EF7">
      <w:pPr>
        <w:pStyle w:val="BodyText"/>
        <w:spacing w:line="276" w:lineRule="auto"/>
      </w:pPr>
      <w:r>
        <w:t>Input voltage shall be 100 – 240VAC</w:t>
      </w:r>
      <w:r w:rsidR="0000546E">
        <w:t xml:space="preserve"> at 50 to 60Hz. (Note: De-rate Current 10% if 50Hz.)</w:t>
      </w:r>
    </w:p>
    <w:p w14:paraId="0E0BEBB9" w14:textId="77777777" w:rsidR="007E06CC" w:rsidRDefault="007E06CC" w:rsidP="002B1BD2">
      <w:pPr>
        <w:pStyle w:val="BodyText"/>
        <w:spacing w:after="0" w:line="276" w:lineRule="auto"/>
      </w:pPr>
      <w:r w:rsidRPr="007E06CC">
        <w:rPr>
          <w:b/>
        </w:rPr>
        <w:t>12 Volt Transformer</w:t>
      </w:r>
    </w:p>
    <w:p w14:paraId="7A5ED3B2" w14:textId="77777777" w:rsidR="002A0929" w:rsidRDefault="002A0929" w:rsidP="002A0929">
      <w:pPr>
        <w:pStyle w:val="BodyText"/>
        <w:spacing w:line="276" w:lineRule="auto"/>
      </w:pPr>
      <w:r w:rsidRPr="009F3EF7">
        <w:t>Transformer</w:t>
      </w:r>
      <w:r>
        <w:t xml:space="preserve"> options shall be available as a</w:t>
      </w:r>
      <w:r w:rsidRPr="009F3EF7">
        <w:t xml:space="preserve"> </w:t>
      </w:r>
      <w:r>
        <w:t>1</w:t>
      </w:r>
      <w:r w:rsidRPr="009F3EF7">
        <w:t xml:space="preserve">A </w:t>
      </w:r>
      <w:r>
        <w:t>at 12VDC.</w:t>
      </w:r>
      <w:r w:rsidRPr="009F3EF7">
        <w:t xml:space="preserve"> </w:t>
      </w:r>
    </w:p>
    <w:p w14:paraId="22EC5C69" w14:textId="77777777" w:rsidR="007E06CC" w:rsidRDefault="007E06CC" w:rsidP="007E06CC">
      <w:pPr>
        <w:pStyle w:val="BodyText"/>
        <w:spacing w:line="276" w:lineRule="auto"/>
      </w:pPr>
      <w:r w:rsidRPr="007E06CC">
        <w:t>When used with the Tek-CARE</w:t>
      </w:r>
      <w:bookmarkStart w:id="1" w:name="_GoBack"/>
      <w:r w:rsidRPr="00184742">
        <w:rPr>
          <w:vertAlign w:val="superscript"/>
        </w:rPr>
        <w:t>®</w:t>
      </w:r>
      <w:bookmarkEnd w:id="1"/>
      <w:r w:rsidRPr="007E06CC">
        <w:t xml:space="preserve">700 </w:t>
      </w:r>
      <w:r w:rsidR="00F16174">
        <w:t>Wander Management System</w:t>
      </w:r>
      <w:r w:rsidRPr="007E06CC">
        <w:t xml:space="preserve">, each </w:t>
      </w:r>
      <w:r w:rsidR="002A0929">
        <w:t>12VDC transformer</w:t>
      </w:r>
      <w:r w:rsidRPr="007E06CC">
        <w:t xml:space="preserve"> can power any combination of up to 8 Elevator Deactivation Units and Fire Panel Interfaces. Maximum distance is 500</w:t>
      </w:r>
      <w:r w:rsidR="00763C78">
        <w:t xml:space="preserve">’ </w:t>
      </w:r>
      <w:r w:rsidRPr="007E06CC">
        <w:t>using 18-gauge wire; 250</w:t>
      </w:r>
      <w:r w:rsidR="00763C78">
        <w:t xml:space="preserve">’ </w:t>
      </w:r>
      <w:r w:rsidRPr="007E06CC">
        <w:t>using 22- gauge wire.</w:t>
      </w:r>
    </w:p>
    <w:p w14:paraId="60A1EEA6" w14:textId="77777777" w:rsidR="00C60071" w:rsidRDefault="00C60071" w:rsidP="007E06CC">
      <w:pPr>
        <w:pStyle w:val="BodyText"/>
        <w:spacing w:line="276" w:lineRule="auto"/>
      </w:pPr>
      <w:r w:rsidRPr="00C60071">
        <w:rPr>
          <w:b/>
        </w:rPr>
        <w:t>15VDC transformers shall be TekTone</w:t>
      </w:r>
      <w:r w:rsidRPr="00C60071">
        <w:rPr>
          <w:b/>
          <w:vertAlign w:val="superscript"/>
        </w:rPr>
        <w:t>®</w:t>
      </w:r>
      <w:r w:rsidRPr="00C60071">
        <w:rPr>
          <w:b/>
        </w:rPr>
        <w:t xml:space="preserve"> PK701 for the 2A and PK702 for the 6A.</w:t>
      </w:r>
    </w:p>
    <w:p w14:paraId="3F4D5396" w14:textId="77777777" w:rsidR="00FF7CBA" w:rsidRPr="00FF7CBA" w:rsidRDefault="00FF7CBA" w:rsidP="007E06CC">
      <w:pPr>
        <w:pStyle w:val="BodyText"/>
        <w:spacing w:line="276" w:lineRule="auto"/>
      </w:pPr>
    </w:p>
    <w:p w14:paraId="148C6FF2" w14:textId="77777777" w:rsidR="00FC1FBE" w:rsidRPr="00C249C9" w:rsidRDefault="0057671A" w:rsidP="006E55AD">
      <w:pPr>
        <w:pStyle w:val="Heading2"/>
      </w:pPr>
      <w:r>
        <w:t>Integration Server</w:t>
      </w:r>
    </w:p>
    <w:p w14:paraId="6AAF5135" w14:textId="77777777" w:rsidR="003F463A" w:rsidRDefault="0040380A" w:rsidP="006E55AD">
      <w:pPr>
        <w:pStyle w:val="BodyText"/>
        <w:spacing w:line="276" w:lineRule="auto"/>
      </w:pPr>
      <w:r>
        <w:t>The contractor shall f</w:t>
      </w:r>
      <w:r w:rsidRPr="004758E7">
        <w:t xml:space="preserve">urnish </w:t>
      </w:r>
      <w:r w:rsidR="00ED3282">
        <w:t xml:space="preserve">an </w:t>
      </w:r>
      <w:r w:rsidR="006812BD" w:rsidRPr="00C60071">
        <w:rPr>
          <w:b/>
          <w:i/>
        </w:rPr>
        <w:t>NC474</w:t>
      </w:r>
      <w:r w:rsidR="00DA291C" w:rsidRPr="00C60071">
        <w:rPr>
          <w:b/>
          <w:i/>
        </w:rPr>
        <w:t xml:space="preserve"> </w:t>
      </w:r>
      <w:r w:rsidR="00DA291C" w:rsidRPr="00C60071">
        <w:rPr>
          <w:b/>
        </w:rPr>
        <w:t>Tek-BRIDGE</w:t>
      </w:r>
      <w:r w:rsidR="00456243" w:rsidRPr="00C60071">
        <w:rPr>
          <w:b/>
          <w:vertAlign w:val="superscript"/>
        </w:rPr>
        <w:t>®</w:t>
      </w:r>
      <w:r w:rsidR="00DA291C" w:rsidRPr="00C60071">
        <w:rPr>
          <w:b/>
        </w:rPr>
        <w:t xml:space="preserve"> </w:t>
      </w:r>
      <w:r w:rsidR="00AA21FB" w:rsidRPr="00C60071">
        <w:rPr>
          <w:b/>
        </w:rPr>
        <w:t>Server</w:t>
      </w:r>
      <w:r w:rsidR="00AA21FB">
        <w:t xml:space="preserve"> </w:t>
      </w:r>
      <w:r w:rsidR="00DA291C">
        <w:t>with Tek-</w:t>
      </w:r>
      <w:r w:rsidR="006812BD">
        <w:t>CARE</w:t>
      </w:r>
      <w:r w:rsidR="00456243" w:rsidRPr="00456243">
        <w:rPr>
          <w:vertAlign w:val="superscript"/>
        </w:rPr>
        <w:t>®</w:t>
      </w:r>
      <w:r w:rsidR="00DA291C">
        <w:t xml:space="preserve"> software</w:t>
      </w:r>
      <w:r w:rsidR="006812BD">
        <w:t xml:space="preserve"> as required</w:t>
      </w:r>
      <w:r w:rsidR="006A5B25">
        <w:t xml:space="preserve">. The </w:t>
      </w:r>
      <w:r w:rsidR="0057671A">
        <w:t>integration server</w:t>
      </w:r>
      <w:r w:rsidR="004003BF">
        <w:t xml:space="preserve"> shall be a proprietary </w:t>
      </w:r>
      <w:r w:rsidR="00D548AC">
        <w:t>server</w:t>
      </w:r>
      <w:r w:rsidR="006A5B25">
        <w:t xml:space="preserve"> fully tested and certified by the manufacturer</w:t>
      </w:r>
      <w:r w:rsidR="00CF6D8A">
        <w:t xml:space="preserve"> for </w:t>
      </w:r>
      <w:r w:rsidR="00CF6D8A">
        <w:lastRenderedPageBreak/>
        <w:t xml:space="preserve">use with proprietary </w:t>
      </w:r>
      <w:r w:rsidR="00F30D94">
        <w:t>wander management</w:t>
      </w:r>
      <w:r w:rsidR="00CF6D8A">
        <w:t xml:space="preserve"> software</w:t>
      </w:r>
      <w:r w:rsidR="006A5B25">
        <w:t xml:space="preserve">. The </w:t>
      </w:r>
      <w:r w:rsidR="0057671A">
        <w:t>integration server</w:t>
      </w:r>
      <w:r w:rsidR="006A5B25">
        <w:t xml:space="preserve"> shall be capable of running all software required by the</w:t>
      </w:r>
      <w:r w:rsidR="000125C8">
        <w:t xml:space="preserve"> </w:t>
      </w:r>
      <w:r w:rsidR="00F16174">
        <w:t>Wander Management System</w:t>
      </w:r>
      <w:r w:rsidR="006A5B25">
        <w:t xml:space="preserve">. The </w:t>
      </w:r>
      <w:r w:rsidR="0057671A">
        <w:t>integration server</w:t>
      </w:r>
      <w:r w:rsidR="006A5B25">
        <w:t xml:space="preserve"> </w:t>
      </w:r>
      <w:r w:rsidR="000125C8">
        <w:t>shall</w:t>
      </w:r>
      <w:r w:rsidR="006A5B25">
        <w:t xml:space="preserve"> accept any required s</w:t>
      </w:r>
      <w:r w:rsidR="00395DA5">
        <w:t xml:space="preserve">oftware updates without requiring hardware updates. </w:t>
      </w:r>
    </w:p>
    <w:p w14:paraId="62CB443B" w14:textId="77777777" w:rsidR="00AA1966" w:rsidRDefault="00395DA5" w:rsidP="006E55AD">
      <w:pPr>
        <w:pStyle w:val="BodyText"/>
        <w:spacing w:line="276" w:lineRule="auto"/>
      </w:pPr>
      <w:r>
        <w:t xml:space="preserve">The </w:t>
      </w:r>
      <w:r w:rsidR="0057671A">
        <w:t>integration server</w:t>
      </w:r>
      <w:r>
        <w:t xml:space="preserve"> </w:t>
      </w:r>
      <w:r w:rsidR="00CF6D8A">
        <w:t>shall be</w:t>
      </w:r>
      <w:r>
        <w:t xml:space="preserve"> a specially designed device</w:t>
      </w:r>
      <w:r w:rsidR="00CF6D8A">
        <w:t xml:space="preserve"> for use with the </w:t>
      </w:r>
      <w:r w:rsidR="00F16174">
        <w:t>Wander Management System</w:t>
      </w:r>
      <w:r>
        <w:t xml:space="preserve">. Consumer grade PCs shall not be accepted. </w:t>
      </w:r>
      <w:r w:rsidR="003F463A">
        <w:t>Backup power for the integration server shall be supplied by an uninterruptable power supply (UPS). The UPS shall be TekTone</w:t>
      </w:r>
      <w:r w:rsidR="003F463A" w:rsidRPr="003F463A">
        <w:rPr>
          <w:vertAlign w:val="superscript"/>
        </w:rPr>
        <w:t>®</w:t>
      </w:r>
      <w:r w:rsidR="003F463A">
        <w:t xml:space="preserve"> PK250B. </w:t>
      </w:r>
    </w:p>
    <w:p w14:paraId="2B056D71" w14:textId="77777777" w:rsidR="00AA1966" w:rsidRPr="00AA1966" w:rsidRDefault="00F16174" w:rsidP="006E55AD">
      <w:pPr>
        <w:pStyle w:val="BodyText"/>
        <w:spacing w:line="276" w:lineRule="auto"/>
        <w:rPr>
          <w:b/>
        </w:rPr>
      </w:pPr>
      <w:r>
        <w:rPr>
          <w:b/>
        </w:rPr>
        <w:t>Wander Management System</w:t>
      </w:r>
      <w:r w:rsidR="00AA1966" w:rsidRPr="00AA1966">
        <w:rPr>
          <w:b/>
        </w:rPr>
        <w:t>s that do not have the capability to seamlessly integrate with the nurse call system shall not be acceptable.</w:t>
      </w:r>
    </w:p>
    <w:p w14:paraId="0A445202" w14:textId="77777777" w:rsidR="00395DA5" w:rsidRPr="004758E7" w:rsidRDefault="00395DA5" w:rsidP="006E55AD">
      <w:pPr>
        <w:pStyle w:val="BodyText"/>
        <w:spacing w:line="276" w:lineRule="auto"/>
      </w:pPr>
      <w:r>
        <w:t xml:space="preserve">The </w:t>
      </w:r>
      <w:r w:rsidR="00DF3795">
        <w:t>integration server</w:t>
      </w:r>
      <w:r>
        <w:t xml:space="preserve"> shall have the following </w:t>
      </w:r>
      <w:r w:rsidR="00D548AC">
        <w:t>minimum features.</w:t>
      </w:r>
    </w:p>
    <w:p w14:paraId="7A0AD4EA" w14:textId="77777777" w:rsidR="00395DA5" w:rsidRDefault="00395DA5" w:rsidP="00022BA8">
      <w:pPr>
        <w:pStyle w:val="BodyTextIndent2loose"/>
        <w:numPr>
          <w:ilvl w:val="0"/>
          <w:numId w:val="13"/>
        </w:numPr>
        <w:spacing w:after="0"/>
        <w:ind w:right="0"/>
      </w:pPr>
      <w:r>
        <w:t xml:space="preserve">Solid state hard drive. </w:t>
      </w:r>
      <w:r w:rsidR="00AA21FB">
        <w:t>Server</w:t>
      </w:r>
      <w:r w:rsidR="00EF7478">
        <w:t>s</w:t>
      </w:r>
      <w:r>
        <w:t xml:space="preserve"> with mechanical hard disk drives shall not be accepted.</w:t>
      </w:r>
    </w:p>
    <w:p w14:paraId="0C970C13" w14:textId="77777777" w:rsidR="00395DA5" w:rsidRDefault="00395DA5" w:rsidP="00022BA8">
      <w:pPr>
        <w:pStyle w:val="BodyTextIndent2loose"/>
        <w:numPr>
          <w:ilvl w:val="0"/>
          <w:numId w:val="13"/>
        </w:numPr>
        <w:spacing w:after="0"/>
        <w:ind w:right="0"/>
      </w:pPr>
      <w:r>
        <w:t xml:space="preserve">One (1) VGA </w:t>
      </w:r>
      <w:r w:rsidR="00B71C12">
        <w:t>monitor port</w:t>
      </w:r>
      <w:r>
        <w:t>.</w:t>
      </w:r>
    </w:p>
    <w:p w14:paraId="19B6DA25" w14:textId="77777777" w:rsidR="00395DA5" w:rsidRDefault="00395DA5" w:rsidP="00022BA8">
      <w:pPr>
        <w:pStyle w:val="BodyTextIndent2loose"/>
        <w:numPr>
          <w:ilvl w:val="0"/>
          <w:numId w:val="13"/>
        </w:numPr>
        <w:spacing w:after="0"/>
        <w:ind w:right="0"/>
      </w:pPr>
      <w:r>
        <w:t xml:space="preserve">Three (3) Ethernet ports. </w:t>
      </w:r>
    </w:p>
    <w:p w14:paraId="16DB7B7C" w14:textId="77777777" w:rsidR="00395DA5" w:rsidRDefault="00B71C12" w:rsidP="00022BA8">
      <w:pPr>
        <w:pStyle w:val="BodyTextIndent2loose"/>
        <w:numPr>
          <w:ilvl w:val="0"/>
          <w:numId w:val="13"/>
        </w:numPr>
        <w:spacing w:after="0"/>
        <w:ind w:right="0"/>
      </w:pPr>
      <w:r>
        <w:t>One (1) PS/2 k</w:t>
      </w:r>
      <w:r w:rsidR="00395DA5">
        <w:t xml:space="preserve">eyboard connection and </w:t>
      </w:r>
      <w:r>
        <w:t>one (</w:t>
      </w:r>
      <w:r w:rsidR="00395DA5">
        <w:t>1</w:t>
      </w:r>
      <w:r>
        <w:t>)</w:t>
      </w:r>
      <w:r w:rsidR="00395DA5">
        <w:t xml:space="preserve"> PS/2 </w:t>
      </w:r>
      <w:r>
        <w:t>mouse c</w:t>
      </w:r>
      <w:r w:rsidR="00395DA5">
        <w:t>onnection.</w:t>
      </w:r>
    </w:p>
    <w:p w14:paraId="7D1D06CE" w14:textId="77777777" w:rsidR="00395DA5" w:rsidRDefault="00B71C12" w:rsidP="00022BA8">
      <w:pPr>
        <w:pStyle w:val="BodyTextIndent2loose"/>
        <w:numPr>
          <w:ilvl w:val="0"/>
          <w:numId w:val="13"/>
        </w:numPr>
        <w:spacing w:after="0"/>
        <w:ind w:right="0"/>
      </w:pPr>
      <w:r>
        <w:t>Six (6) DB9 s</w:t>
      </w:r>
      <w:r w:rsidR="00395DA5">
        <w:t xml:space="preserve">erial </w:t>
      </w:r>
      <w:r>
        <w:t>c</w:t>
      </w:r>
      <w:r w:rsidR="00395DA5">
        <w:t>onnections.</w:t>
      </w:r>
    </w:p>
    <w:p w14:paraId="5D9B06F8" w14:textId="77777777" w:rsidR="00395DA5" w:rsidRDefault="00B71C12" w:rsidP="00022BA8">
      <w:pPr>
        <w:pStyle w:val="BodyTextIndent2loose"/>
        <w:numPr>
          <w:ilvl w:val="0"/>
          <w:numId w:val="13"/>
        </w:numPr>
        <w:spacing w:after="0"/>
        <w:ind w:right="0"/>
      </w:pPr>
      <w:r>
        <w:t>Four (4)</w:t>
      </w:r>
      <w:r w:rsidR="00395DA5">
        <w:t xml:space="preserve"> USB </w:t>
      </w:r>
      <w:r>
        <w:t>p</w:t>
      </w:r>
      <w:r w:rsidR="00A210CA">
        <w:t>orts</w:t>
      </w:r>
      <w:r>
        <w:t>.</w:t>
      </w:r>
    </w:p>
    <w:p w14:paraId="1F6734EF" w14:textId="77777777" w:rsidR="00A210CA" w:rsidRDefault="00A210CA" w:rsidP="00022BA8">
      <w:pPr>
        <w:pStyle w:val="BodyTextIndent2loose"/>
        <w:numPr>
          <w:ilvl w:val="0"/>
          <w:numId w:val="13"/>
        </w:numPr>
        <w:spacing w:after="0"/>
        <w:ind w:right="0"/>
      </w:pPr>
      <w:r>
        <w:t xml:space="preserve">3.5mm Speaker jack, 3.5mm Mic jack, and 3.5mm </w:t>
      </w:r>
      <w:r w:rsidR="00CF6D8A">
        <w:t>Line In jack</w:t>
      </w:r>
      <w:r w:rsidR="00AA21FB">
        <w:t>.</w:t>
      </w:r>
    </w:p>
    <w:p w14:paraId="55666A52" w14:textId="77777777" w:rsidR="0057671A" w:rsidRDefault="0057671A" w:rsidP="00022BA8">
      <w:pPr>
        <w:pStyle w:val="BodyTextIndent2loose"/>
        <w:numPr>
          <w:ilvl w:val="0"/>
          <w:numId w:val="13"/>
        </w:numPr>
        <w:spacing w:after="0"/>
        <w:ind w:right="0"/>
      </w:pPr>
      <w:r>
        <w:t>Internal speaker for annunciating call tones.</w:t>
      </w:r>
    </w:p>
    <w:p w14:paraId="5509C027" w14:textId="77777777" w:rsidR="0040380A" w:rsidRDefault="001F501F" w:rsidP="00022BA8">
      <w:pPr>
        <w:pStyle w:val="BodyTextIndent2loose"/>
        <w:numPr>
          <w:ilvl w:val="0"/>
          <w:numId w:val="13"/>
        </w:numPr>
        <w:spacing w:after="0"/>
        <w:ind w:right="0"/>
      </w:pPr>
      <w:r>
        <w:t>Pleasant sounding call tones.</w:t>
      </w:r>
    </w:p>
    <w:p w14:paraId="721D7560" w14:textId="77777777" w:rsidR="001F501F" w:rsidRDefault="001F501F" w:rsidP="00022BA8">
      <w:pPr>
        <w:pStyle w:val="BodyTextIndent2loose"/>
        <w:numPr>
          <w:ilvl w:val="0"/>
          <w:numId w:val="13"/>
        </w:numPr>
        <w:spacing w:after="0"/>
        <w:ind w:right="0"/>
      </w:pPr>
      <w:r>
        <w:t>Preloaded with appropriate configuration software for all connected systems.</w:t>
      </w:r>
    </w:p>
    <w:p w14:paraId="6F2CE294" w14:textId="77777777" w:rsidR="001F501F" w:rsidRDefault="001F501F" w:rsidP="00022BA8">
      <w:pPr>
        <w:pStyle w:val="BodyTextIndent2loose"/>
        <w:numPr>
          <w:ilvl w:val="0"/>
          <w:numId w:val="13"/>
        </w:numPr>
        <w:spacing w:after="0"/>
        <w:ind w:right="0"/>
      </w:pPr>
      <w:r>
        <w:t>Provided as a complete unit, with monitor, keyboard, and mouse included.</w:t>
      </w:r>
    </w:p>
    <w:p w14:paraId="27FD279A" w14:textId="77777777" w:rsidR="00A64679" w:rsidRDefault="00A64679" w:rsidP="00022BA8">
      <w:pPr>
        <w:pStyle w:val="BodyTextIndent2loose"/>
        <w:numPr>
          <w:ilvl w:val="0"/>
          <w:numId w:val="13"/>
        </w:numPr>
        <w:spacing w:after="0"/>
        <w:ind w:right="0"/>
      </w:pPr>
      <w:r>
        <w:t>The integration server shall not require an IP connection for backup or software upgrades. Systems which require an IP connection to manufacturer servers shall not be accepted.</w:t>
      </w:r>
    </w:p>
    <w:p w14:paraId="35E4FEB6" w14:textId="77777777" w:rsidR="003F463A" w:rsidRDefault="003F463A" w:rsidP="00022BA8">
      <w:pPr>
        <w:pStyle w:val="BodyTextIndent2loose"/>
        <w:numPr>
          <w:ilvl w:val="0"/>
          <w:numId w:val="13"/>
        </w:numPr>
        <w:spacing w:after="0"/>
        <w:ind w:right="0"/>
      </w:pPr>
      <w:r>
        <w:t>The integration server shall accept software licenses to enable connections to various native and foreign systems.</w:t>
      </w:r>
    </w:p>
    <w:p w14:paraId="2D0C55B3" w14:textId="77777777" w:rsidR="003F463A" w:rsidRDefault="003F463A" w:rsidP="00022BA8">
      <w:pPr>
        <w:pStyle w:val="BodyTextIndent2loose"/>
        <w:numPr>
          <w:ilvl w:val="0"/>
          <w:numId w:val="13"/>
        </w:numPr>
        <w:spacing w:after="0"/>
        <w:ind w:right="0"/>
      </w:pPr>
      <w:r>
        <w:t>The integration server shall accept a license to communicate with</w:t>
      </w:r>
      <w:r w:rsidR="00022BA8">
        <w:t xml:space="preserve"> both current and </w:t>
      </w:r>
      <w:r>
        <w:t>legacy TekTone</w:t>
      </w:r>
      <w:r w:rsidRPr="003F463A">
        <w:rPr>
          <w:vertAlign w:val="superscript"/>
        </w:rPr>
        <w:t xml:space="preserve">® </w:t>
      </w:r>
      <w:r w:rsidR="00022BA8">
        <w:t xml:space="preserve">nurse call </w:t>
      </w:r>
      <w:r>
        <w:t>systems as required. The license shall be TekTone</w:t>
      </w:r>
      <w:r w:rsidRPr="003F463A">
        <w:rPr>
          <w:vertAlign w:val="superscript"/>
        </w:rPr>
        <w:t>®</w:t>
      </w:r>
      <w:r>
        <w:t xml:space="preserve"> </w:t>
      </w:r>
      <w:r>
        <w:rPr>
          <w:i/>
        </w:rPr>
        <w:t>LS301.</w:t>
      </w:r>
    </w:p>
    <w:p w14:paraId="4D4075BD" w14:textId="77777777" w:rsidR="002277CC" w:rsidRDefault="002277CC" w:rsidP="006E55AD">
      <w:pPr>
        <w:pStyle w:val="Heading2"/>
      </w:pPr>
      <w:r>
        <w:t>Event Monitor Software</w:t>
      </w:r>
    </w:p>
    <w:p w14:paraId="3CF1B8F7" w14:textId="77777777" w:rsidR="00834EE8" w:rsidRDefault="002277CC" w:rsidP="006E55AD">
      <w:pPr>
        <w:pStyle w:val="BodyText"/>
        <w:spacing w:line="276" w:lineRule="auto"/>
      </w:pPr>
      <w:r>
        <w:t xml:space="preserve">The </w:t>
      </w:r>
      <w:r w:rsidR="0057671A">
        <w:t>integration server</w:t>
      </w:r>
      <w:r>
        <w:t xml:space="preserve"> shall be provided with proprietary event monitor software for displaying and routing calls received by the </w:t>
      </w:r>
      <w:r w:rsidR="00F16174">
        <w:t>Wander Management System</w:t>
      </w:r>
      <w:r>
        <w:t xml:space="preserve">. The event monitor software running on the </w:t>
      </w:r>
      <w:r w:rsidR="0057671A">
        <w:t>integration server</w:t>
      </w:r>
      <w:r>
        <w:t xml:space="preserve"> shall display all calls from connected analog </w:t>
      </w:r>
      <w:r w:rsidR="00F16174">
        <w:t>Wander Management System</w:t>
      </w:r>
      <w:r w:rsidR="00C57AFF">
        <w:t xml:space="preserve">s as well as </w:t>
      </w:r>
      <w:r w:rsidR="00F16174">
        <w:t>Wander Management System</w:t>
      </w:r>
      <w:r w:rsidR="00C57AFF">
        <w:t xml:space="preserve"> faults.</w:t>
      </w:r>
      <w:r w:rsidR="00F00574">
        <w:t xml:space="preserve"> The event monitor software shall be TekTone</w:t>
      </w:r>
      <w:r w:rsidR="00F00574" w:rsidRPr="00F00574">
        <w:rPr>
          <w:vertAlign w:val="superscript"/>
        </w:rPr>
        <w:t>®</w:t>
      </w:r>
      <w:r w:rsidR="00F00574">
        <w:t xml:space="preserve"> LSMON-series.</w:t>
      </w:r>
      <w:r w:rsidR="00AA0A07">
        <w:t xml:space="preserve"> The system shall support up to ten (10) event monitors if so licensed.</w:t>
      </w:r>
    </w:p>
    <w:p w14:paraId="2051A563" w14:textId="77777777" w:rsidR="00E72CC8" w:rsidRDefault="00C57AFF" w:rsidP="00F00574">
      <w:pPr>
        <w:pStyle w:val="BodyText"/>
        <w:spacing w:line="276" w:lineRule="auto"/>
      </w:pPr>
      <w:r>
        <w:t xml:space="preserve">Any event that </w:t>
      </w:r>
      <w:r w:rsidR="00F00574">
        <w:t>is annunciated by the system</w:t>
      </w:r>
      <w:r>
        <w:t xml:space="preserve"> shall be automatically logged </w:t>
      </w:r>
      <w:r w:rsidR="00F00574">
        <w:t>in the reporting database</w:t>
      </w:r>
      <w:r w:rsidR="00FF33C9">
        <w:t xml:space="preserve">. </w:t>
      </w:r>
      <w:r w:rsidR="00F00574">
        <w:t>The database shall record all system activity for review at a later time using the optional Reporting software</w:t>
      </w:r>
      <w:r w:rsidR="00FF33C9">
        <w:t xml:space="preserve">. </w:t>
      </w:r>
      <w:r w:rsidR="00E063F3">
        <w:t xml:space="preserve">The </w:t>
      </w:r>
      <w:r w:rsidR="00F00574">
        <w:t>database</w:t>
      </w:r>
      <w:r w:rsidR="00E063F3">
        <w:t xml:space="preserve"> shall record all i</w:t>
      </w:r>
      <w:r w:rsidR="00FF33C9">
        <w:t>nformation about th</w:t>
      </w:r>
      <w:r w:rsidR="00E063F3">
        <w:t>e event</w:t>
      </w:r>
      <w:r w:rsidR="00B71C12">
        <w:t>,</w:t>
      </w:r>
      <w:r w:rsidR="00E063F3">
        <w:t xml:space="preserve"> including response time and the time and date of the event. The </w:t>
      </w:r>
      <w:r w:rsidR="00F00574">
        <w:t>database</w:t>
      </w:r>
      <w:r w:rsidR="00E063F3">
        <w:t xml:space="preserve"> shall be operationally transparent to the </w:t>
      </w:r>
      <w:r w:rsidR="00F16174">
        <w:t>Wander Management System</w:t>
      </w:r>
      <w:r w:rsidR="00E063F3">
        <w:t>. No action by the user shall be necessary to record system events.</w:t>
      </w:r>
      <w:r w:rsidR="00B6697C">
        <w:t xml:space="preserve"> </w:t>
      </w:r>
      <w:r w:rsidR="00E72CC8">
        <w:t>The database shall not require any maintenance</w:t>
      </w:r>
      <w:r w:rsidR="00411C0A">
        <w:t xml:space="preserve"> or </w:t>
      </w:r>
      <w:r w:rsidR="00F940CA">
        <w:t>periodic cleanup by the user.</w:t>
      </w:r>
    </w:p>
    <w:p w14:paraId="77428FA4" w14:textId="77777777" w:rsidR="00E063F3" w:rsidRDefault="00E063F3" w:rsidP="006E55AD">
      <w:pPr>
        <w:pStyle w:val="BodyText"/>
        <w:spacing w:line="276" w:lineRule="auto"/>
      </w:pPr>
      <w:r>
        <w:t>The event monitor software shall also enable users to view information about the system</w:t>
      </w:r>
      <w:r w:rsidR="00B71C12">
        <w:t>,</w:t>
      </w:r>
      <w:r>
        <w:t xml:space="preserve"> including patients, staff, staff groups, staff assignments, and scheduled messaging. </w:t>
      </w:r>
    </w:p>
    <w:p w14:paraId="4F8D8E1F" w14:textId="77777777" w:rsidR="00AA0A07" w:rsidRDefault="00AA0A07" w:rsidP="00AA0A07">
      <w:pPr>
        <w:pStyle w:val="BodyText"/>
        <w:spacing w:line="276" w:lineRule="auto"/>
      </w:pPr>
      <w:r>
        <w:t xml:space="preserve">The </w:t>
      </w:r>
      <w:r w:rsidR="00F16174">
        <w:t>Wander Management System</w:t>
      </w:r>
      <w:r>
        <w:t xml:space="preserve"> shall support an optional remote event monitor that may be installed on any networked facility personal computer running Windows XP or higher. The remote event monitor requires that the integration server be connected via LAN. </w:t>
      </w:r>
    </w:p>
    <w:p w14:paraId="04922BBC" w14:textId="77777777" w:rsidR="002277CC" w:rsidRDefault="002277CC" w:rsidP="006E55AD">
      <w:pPr>
        <w:pStyle w:val="Heading2"/>
      </w:pPr>
      <w:r>
        <w:lastRenderedPageBreak/>
        <w:t>Configuration Software</w:t>
      </w:r>
    </w:p>
    <w:p w14:paraId="76A4710F" w14:textId="77777777" w:rsidR="009B602E" w:rsidRDefault="00A137C1" w:rsidP="006E55AD">
      <w:pPr>
        <w:pStyle w:val="BodyText"/>
        <w:spacing w:line="276" w:lineRule="auto"/>
      </w:pPr>
      <w:r>
        <w:t xml:space="preserve">The </w:t>
      </w:r>
      <w:r w:rsidR="0057671A">
        <w:t>integration server</w:t>
      </w:r>
      <w:r w:rsidR="00B71C12">
        <w:t xml:space="preserve"> shall be supplied with</w:t>
      </w:r>
      <w:r w:rsidR="00F00574">
        <w:t xml:space="preserve"> configuration </w:t>
      </w:r>
      <w:r w:rsidR="004E3483">
        <w:t xml:space="preserve">software </w:t>
      </w:r>
      <w:r>
        <w:t>for system setup and programming. The configuration</w:t>
      </w:r>
      <w:r w:rsidR="0095265E">
        <w:t xml:space="preserve"> </w:t>
      </w:r>
      <w:r>
        <w:t>software shall enable programming of all licensed system features</w:t>
      </w:r>
      <w:r w:rsidR="0095265E">
        <w:t>.</w:t>
      </w:r>
    </w:p>
    <w:p w14:paraId="1D923B45" w14:textId="77777777" w:rsidR="00C84EC0" w:rsidRDefault="00C84EC0" w:rsidP="006E55AD">
      <w:pPr>
        <w:pStyle w:val="Heading2"/>
      </w:pPr>
      <w:r>
        <w:t>Reporting System</w:t>
      </w:r>
    </w:p>
    <w:p w14:paraId="0DF8926C" w14:textId="77777777" w:rsidR="00C84EC0" w:rsidRDefault="00C84EC0" w:rsidP="006E55AD">
      <w:pPr>
        <w:pStyle w:val="BodyText"/>
        <w:spacing w:line="276" w:lineRule="auto"/>
      </w:pPr>
      <w:r>
        <w:t xml:space="preserve">A reporting system that is operationally transparent to the </w:t>
      </w:r>
      <w:r w:rsidR="00F16174">
        <w:t>Wander Management System</w:t>
      </w:r>
      <w:r>
        <w:t xml:space="preserve"> shall be provided with the system. The reporting </w:t>
      </w:r>
      <w:r w:rsidR="00AA0A07">
        <w:t>database</w:t>
      </w:r>
      <w:r>
        <w:t xml:space="preserve"> shall automatically log system events and store them for retrieval at a later date.</w:t>
      </w:r>
    </w:p>
    <w:p w14:paraId="1415F03C" w14:textId="77777777" w:rsidR="00C84EC0" w:rsidRDefault="00C84EC0" w:rsidP="006E55AD">
      <w:pPr>
        <w:pStyle w:val="BodyText"/>
        <w:spacing w:line="276" w:lineRule="auto"/>
      </w:pPr>
      <w:r>
        <w:t xml:space="preserve">The reporting system </w:t>
      </w:r>
      <w:r w:rsidR="00B71C12">
        <w:t>shall</w:t>
      </w:r>
      <w:r>
        <w:t xml:space="preserve"> be accessible from the event monitor software running on the </w:t>
      </w:r>
      <w:r w:rsidR="0057671A">
        <w:t>integration server</w:t>
      </w:r>
      <w:r>
        <w:t xml:space="preserve"> or remote event monitors running on </w:t>
      </w:r>
      <w:r w:rsidR="00B71C12">
        <w:t xml:space="preserve">networked </w:t>
      </w:r>
      <w:r>
        <w:t xml:space="preserve">facility PCs. Report creation </w:t>
      </w:r>
      <w:r w:rsidR="00AA0A07">
        <w:t>shall</w:t>
      </w:r>
      <w:r>
        <w:t xml:space="preserve"> be </w:t>
      </w:r>
      <w:r w:rsidR="00A953E5">
        <w:t xml:space="preserve">simple and </w:t>
      </w:r>
      <w:r>
        <w:t xml:space="preserve">completely customizable. Reports </w:t>
      </w:r>
      <w:r w:rsidR="00B71C12">
        <w:t>shall be viewable</w:t>
      </w:r>
      <w:r>
        <w:t xml:space="preserve"> in a web browser as an HTML file or exported as a CSV file. The reporting system shall have quick links for creating commonly requested report ranges (last day, last week, etc.) as well as offering fully customizable report creation.</w:t>
      </w:r>
    </w:p>
    <w:p w14:paraId="28ADEDB6" w14:textId="77777777" w:rsidR="00A953E5" w:rsidRDefault="00AA0A07" w:rsidP="006E55AD">
      <w:pPr>
        <w:pStyle w:val="BodyText"/>
        <w:spacing w:line="276" w:lineRule="auto"/>
      </w:pPr>
      <w:r>
        <w:t>Using the optional LS453 Email Output software</w:t>
      </w:r>
      <w:r w:rsidR="00A953E5">
        <w:t>, the reporting system shall be capable of generating reports and distributing them automatically</w:t>
      </w:r>
      <w:r w:rsidR="00B71C12">
        <w:t xml:space="preserve"> via email</w:t>
      </w:r>
      <w:r w:rsidR="0093017B">
        <w:t>.</w:t>
      </w:r>
      <w:r>
        <w:t xml:space="preserve"> </w:t>
      </w:r>
    </w:p>
    <w:p w14:paraId="338536A2" w14:textId="77777777" w:rsidR="00AA0A07" w:rsidRPr="00C60071" w:rsidRDefault="00AA0A07" w:rsidP="006E55AD">
      <w:pPr>
        <w:pStyle w:val="BodyText"/>
        <w:spacing w:line="276" w:lineRule="auto"/>
        <w:rPr>
          <w:b/>
        </w:rPr>
      </w:pPr>
      <w:r w:rsidRPr="00C60071">
        <w:rPr>
          <w:b/>
        </w:rPr>
        <w:t>The reporting system shall be av</w:t>
      </w:r>
      <w:r w:rsidR="00C60071" w:rsidRPr="00C60071">
        <w:rPr>
          <w:b/>
        </w:rPr>
        <w:t>ailable as an optional feature and shall be TekTone</w:t>
      </w:r>
      <w:r w:rsidR="00C60071" w:rsidRPr="00C60071">
        <w:rPr>
          <w:b/>
          <w:vertAlign w:val="superscript"/>
        </w:rPr>
        <w:t>®</w:t>
      </w:r>
      <w:r w:rsidR="00C60071" w:rsidRPr="00C60071">
        <w:rPr>
          <w:b/>
        </w:rPr>
        <w:t xml:space="preserve"> LS610 series.</w:t>
      </w:r>
    </w:p>
    <w:p w14:paraId="188DC4B0" w14:textId="77777777" w:rsidR="00FC1FBE" w:rsidRPr="00C249C9" w:rsidRDefault="00FC1FBE" w:rsidP="006E55AD">
      <w:pPr>
        <w:pStyle w:val="Heading2"/>
      </w:pPr>
      <w:r w:rsidRPr="00C249C9">
        <w:t>Pocket Paging</w:t>
      </w:r>
    </w:p>
    <w:p w14:paraId="11BF53A1" w14:textId="77777777" w:rsidR="00747E40" w:rsidRDefault="00AA0A07" w:rsidP="006E55AD">
      <w:pPr>
        <w:pStyle w:val="BodyText"/>
        <w:spacing w:line="276" w:lineRule="auto"/>
      </w:pPr>
      <w:r>
        <w:t>The contractor shall provide a pocket paging transmitter</w:t>
      </w:r>
      <w:r w:rsidR="00747E40">
        <w:t xml:space="preserve"> and alphanumeric pager</w:t>
      </w:r>
      <w:r w:rsidR="00C60071">
        <w:t>s</w:t>
      </w:r>
      <w:r>
        <w:rPr>
          <w:i/>
        </w:rPr>
        <w:t>,</w:t>
      </w:r>
      <w:r w:rsidR="00747E40">
        <w:rPr>
          <w:i/>
        </w:rPr>
        <w:t xml:space="preserve"> </w:t>
      </w:r>
      <w:r>
        <w:t>or LED Messaging Sign</w:t>
      </w:r>
      <w:r w:rsidR="00747E40">
        <w:t xml:space="preserve">. The transmitter shall be capable of being connected to the </w:t>
      </w:r>
      <w:r w:rsidR="00F16174">
        <w:t>Wander Management System</w:t>
      </w:r>
      <w:r w:rsidR="00A953E5">
        <w:t xml:space="preserve"> </w:t>
      </w:r>
      <w:r w:rsidR="00747E40">
        <w:t>via the Tek-BRIDGE</w:t>
      </w:r>
      <w:r w:rsidR="00456243" w:rsidRPr="00456243">
        <w:rPr>
          <w:vertAlign w:val="superscript"/>
        </w:rPr>
        <w:t>®</w:t>
      </w:r>
      <w:r>
        <w:rPr>
          <w:vertAlign w:val="superscript"/>
        </w:rPr>
        <w:t xml:space="preserve"> </w:t>
      </w:r>
      <w:r>
        <w:t xml:space="preserve">Server, </w:t>
      </w:r>
      <w:r w:rsidR="00747E40">
        <w:t xml:space="preserve">and shall be operationally transparent to the </w:t>
      </w:r>
      <w:r w:rsidR="00F16174">
        <w:t>Wander Management System</w:t>
      </w:r>
      <w:r w:rsidR="00747E40">
        <w:t>. The pocket pag</w:t>
      </w:r>
      <w:r>
        <w:t>ing</w:t>
      </w:r>
      <w:r w:rsidR="00747E40">
        <w:t xml:space="preserve"> interface</w:t>
      </w:r>
      <w:r w:rsidR="00CB7311">
        <w:t xml:space="preserve"> shall allow</w:t>
      </w:r>
      <w:r w:rsidR="00747E40">
        <w:t xml:space="preserve"> COMP 2, TAP and Scope protocol</w:t>
      </w:r>
      <w:r w:rsidR="00CB7311">
        <w:t>s</w:t>
      </w:r>
      <w:r w:rsidR="00747E40">
        <w:t>. The pocket paging equipment shall support the following features:</w:t>
      </w:r>
    </w:p>
    <w:p w14:paraId="73F80A19" w14:textId="77777777" w:rsidR="00747E40" w:rsidRDefault="00747E40" w:rsidP="00C60071">
      <w:pPr>
        <w:pStyle w:val="BodyTextIndent"/>
        <w:numPr>
          <w:ilvl w:val="0"/>
          <w:numId w:val="19"/>
        </w:numPr>
        <w:ind w:left="1080"/>
      </w:pPr>
      <w:r>
        <w:t xml:space="preserve">The </w:t>
      </w:r>
      <w:r w:rsidR="00F16174">
        <w:t>Wander Management System</w:t>
      </w:r>
      <w:r>
        <w:t xml:space="preserve"> shall accommodate up to </w:t>
      </w:r>
      <w:r w:rsidR="00847B9C">
        <w:t>256</w:t>
      </w:r>
      <w:r>
        <w:t xml:space="preserve"> unique pager cap codes. Each pager cap code may be given a name describing it and/or the staff member who carries it. Each pager may belong to multiple pager groups, of which the system shall allow up to 256.</w:t>
      </w:r>
    </w:p>
    <w:p w14:paraId="0DA84D48" w14:textId="77777777" w:rsidR="00C60071" w:rsidRDefault="00C60071" w:rsidP="00C60071">
      <w:pPr>
        <w:pStyle w:val="BodyTextIndent"/>
        <w:ind w:firstLine="0"/>
      </w:pPr>
    </w:p>
    <w:p w14:paraId="0CA981BA" w14:textId="77777777" w:rsidR="00747E40" w:rsidRDefault="00747E40" w:rsidP="00C60071">
      <w:pPr>
        <w:pStyle w:val="BodyTextIndent"/>
        <w:numPr>
          <w:ilvl w:val="0"/>
          <w:numId w:val="19"/>
        </w:numPr>
        <w:ind w:left="1080"/>
      </w:pPr>
      <w:r>
        <w:t>The system shall allow four types of paging assignment:</w:t>
      </w:r>
    </w:p>
    <w:p w14:paraId="5DE26362" w14:textId="77777777" w:rsidR="00747E40" w:rsidRDefault="00747E40" w:rsidP="00C60071">
      <w:pPr>
        <w:pStyle w:val="BodyTextIndent"/>
        <w:numPr>
          <w:ilvl w:val="0"/>
          <w:numId w:val="20"/>
        </w:numPr>
        <w:tabs>
          <w:tab w:val="clear" w:pos="360"/>
          <w:tab w:val="clear" w:pos="720"/>
        </w:tabs>
        <w:ind w:left="1440"/>
      </w:pPr>
      <w:r>
        <w:t>From a station to a pager</w:t>
      </w:r>
    </w:p>
    <w:p w14:paraId="510B83E3" w14:textId="77777777" w:rsidR="00747E40" w:rsidRDefault="00747E40" w:rsidP="00C60071">
      <w:pPr>
        <w:pStyle w:val="BodyTextIndent"/>
        <w:numPr>
          <w:ilvl w:val="0"/>
          <w:numId w:val="20"/>
        </w:numPr>
        <w:tabs>
          <w:tab w:val="clear" w:pos="360"/>
          <w:tab w:val="clear" w:pos="720"/>
        </w:tabs>
        <w:ind w:left="1440"/>
      </w:pPr>
      <w:r>
        <w:t>From a station to a pager group</w:t>
      </w:r>
    </w:p>
    <w:p w14:paraId="41CF7AC6" w14:textId="77777777" w:rsidR="00747E40" w:rsidRDefault="00747E40" w:rsidP="00C60071">
      <w:pPr>
        <w:pStyle w:val="BodyTextIndent"/>
        <w:numPr>
          <w:ilvl w:val="0"/>
          <w:numId w:val="20"/>
        </w:numPr>
        <w:tabs>
          <w:tab w:val="clear" w:pos="360"/>
          <w:tab w:val="clear" w:pos="720"/>
        </w:tabs>
        <w:ind w:left="1440"/>
      </w:pPr>
      <w:r>
        <w:t>From a zone to a pager</w:t>
      </w:r>
    </w:p>
    <w:p w14:paraId="4FA5D991" w14:textId="77777777" w:rsidR="00747E40" w:rsidRDefault="00747E40" w:rsidP="00C60071">
      <w:pPr>
        <w:pStyle w:val="BodyTextIndent"/>
        <w:numPr>
          <w:ilvl w:val="0"/>
          <w:numId w:val="20"/>
        </w:numPr>
        <w:tabs>
          <w:tab w:val="clear" w:pos="360"/>
          <w:tab w:val="clear" w:pos="720"/>
        </w:tabs>
        <w:ind w:left="1440"/>
      </w:pPr>
      <w:r>
        <w:t>From a zone to a pager group</w:t>
      </w:r>
    </w:p>
    <w:p w14:paraId="28986F23" w14:textId="77777777" w:rsidR="00747E40" w:rsidRDefault="00747E40" w:rsidP="00C60071">
      <w:pPr>
        <w:pStyle w:val="BodyTextIndent"/>
        <w:numPr>
          <w:ilvl w:val="0"/>
          <w:numId w:val="21"/>
        </w:numPr>
        <w:ind w:left="1080"/>
      </w:pPr>
      <w:r>
        <w:t>Each assignment shall have the following properties:</w:t>
      </w:r>
    </w:p>
    <w:p w14:paraId="7AEC54EC" w14:textId="77777777" w:rsidR="00747E40" w:rsidRDefault="00747E40" w:rsidP="00C60071">
      <w:pPr>
        <w:pStyle w:val="BodyTextIndent"/>
        <w:numPr>
          <w:ilvl w:val="0"/>
          <w:numId w:val="23"/>
        </w:numPr>
        <w:tabs>
          <w:tab w:val="clear" w:pos="360"/>
          <w:tab w:val="clear" w:pos="720"/>
        </w:tabs>
        <w:ind w:left="1440"/>
      </w:pPr>
      <w:r>
        <w:t>Level—whether the assignment is primary, secondary, or tertiary</w:t>
      </w:r>
    </w:p>
    <w:p w14:paraId="5782DF50" w14:textId="77777777" w:rsidR="00747E40" w:rsidRDefault="00747E40" w:rsidP="00C60071">
      <w:pPr>
        <w:pStyle w:val="BodyTextIndent"/>
        <w:numPr>
          <w:ilvl w:val="0"/>
          <w:numId w:val="23"/>
        </w:numPr>
        <w:tabs>
          <w:tab w:val="clear" w:pos="360"/>
          <w:tab w:val="clear" w:pos="720"/>
        </w:tabs>
        <w:ind w:left="1440"/>
      </w:pPr>
      <w:r>
        <w:t>Call filter—the call types to which the assignment applies</w:t>
      </w:r>
    </w:p>
    <w:p w14:paraId="52BDEA63" w14:textId="77777777" w:rsidR="00747E40" w:rsidRDefault="00747E40" w:rsidP="00C60071">
      <w:pPr>
        <w:pStyle w:val="BodyTextIndent"/>
        <w:numPr>
          <w:ilvl w:val="0"/>
          <w:numId w:val="23"/>
        </w:numPr>
        <w:tabs>
          <w:tab w:val="clear" w:pos="360"/>
          <w:tab w:val="clear" w:pos="720"/>
        </w:tabs>
        <w:ind w:left="1440"/>
      </w:pPr>
      <w:r>
        <w:t>Page resets—whether the assignment applies to resets</w:t>
      </w:r>
    </w:p>
    <w:p w14:paraId="5AD5A823" w14:textId="77777777" w:rsidR="00747E40" w:rsidRDefault="00747E40" w:rsidP="00C60071">
      <w:pPr>
        <w:pStyle w:val="BodyTextIndent"/>
        <w:numPr>
          <w:ilvl w:val="0"/>
          <w:numId w:val="23"/>
        </w:numPr>
        <w:tabs>
          <w:tab w:val="clear" w:pos="360"/>
          <w:tab w:val="clear" w:pos="720"/>
        </w:tabs>
        <w:ind w:left="1440"/>
      </w:pPr>
      <w:r>
        <w:t>Page faults—whether the assignment applies to faults</w:t>
      </w:r>
    </w:p>
    <w:p w14:paraId="51A02E31" w14:textId="77777777" w:rsidR="00747E40" w:rsidRDefault="00747E40" w:rsidP="00C60071">
      <w:pPr>
        <w:pStyle w:val="BodyTextIndent"/>
        <w:numPr>
          <w:ilvl w:val="0"/>
          <w:numId w:val="21"/>
        </w:numPr>
        <w:tabs>
          <w:tab w:val="clear" w:pos="360"/>
          <w:tab w:val="clear" w:pos="720"/>
        </w:tabs>
        <w:ind w:left="1080"/>
      </w:pPr>
      <w:r>
        <w:t>Paging assignments shall be fully configurable from the</w:t>
      </w:r>
      <w:r w:rsidR="005C1CBD">
        <w:t xml:space="preserve"> nurse call</w:t>
      </w:r>
      <w:r>
        <w:t xml:space="preserve"> master station or from the Tek-BRIDGE</w:t>
      </w:r>
      <w:r w:rsidR="00456243" w:rsidRPr="00456243">
        <w:rPr>
          <w:vertAlign w:val="superscript"/>
        </w:rPr>
        <w:t>®</w:t>
      </w:r>
      <w:r>
        <w:t xml:space="preserve"> </w:t>
      </w:r>
      <w:r w:rsidR="00AA0A07">
        <w:t xml:space="preserve">Server </w:t>
      </w:r>
      <w:r>
        <w:t xml:space="preserve">running the </w:t>
      </w:r>
      <w:r w:rsidR="00AA0A07">
        <w:t>Config Tool programming s</w:t>
      </w:r>
      <w:r>
        <w:t>oftware.</w:t>
      </w:r>
    </w:p>
    <w:p w14:paraId="0918E1B9" w14:textId="77777777" w:rsidR="005C1CBD" w:rsidRDefault="005C1CBD" w:rsidP="005C1CBD">
      <w:pPr>
        <w:pStyle w:val="BodyTextIndent"/>
        <w:tabs>
          <w:tab w:val="clear" w:pos="360"/>
          <w:tab w:val="clear" w:pos="720"/>
        </w:tabs>
        <w:ind w:firstLine="0"/>
      </w:pPr>
    </w:p>
    <w:p w14:paraId="1A983A78" w14:textId="77777777" w:rsidR="00747E40" w:rsidRDefault="00747E40" w:rsidP="006E55AD">
      <w:pPr>
        <w:spacing w:before="120" w:after="120"/>
      </w:pPr>
      <w:r>
        <w:t xml:space="preserve">The system shall allow two types of paging: manual and automatic. Automatic paging may be turned off or on; when on, it </w:t>
      </w:r>
      <w:r w:rsidR="00AA0A07">
        <w:t>shall</w:t>
      </w:r>
      <w:r>
        <w:t xml:space="preserve"> operate concurrently with manual paging.</w:t>
      </w:r>
    </w:p>
    <w:p w14:paraId="5D07D347" w14:textId="77777777" w:rsidR="00747E40" w:rsidRDefault="00747E40" w:rsidP="006E55AD">
      <w:pPr>
        <w:spacing w:before="120" w:after="120"/>
      </w:pPr>
      <w:r>
        <w:lastRenderedPageBreak/>
        <w:t>Manual paging shall be executed</w:t>
      </w:r>
      <w:r w:rsidR="00AA0A07">
        <w:t xml:space="preserve"> either</w:t>
      </w:r>
      <w:r>
        <w:t xml:space="preserve"> from </w:t>
      </w:r>
      <w:r w:rsidR="0095265E">
        <w:t xml:space="preserve">the </w:t>
      </w:r>
      <w:r w:rsidR="0057671A">
        <w:t>integration server</w:t>
      </w:r>
      <w:r w:rsidR="00DF3795">
        <w:t xml:space="preserve"> </w:t>
      </w:r>
      <w:r w:rsidR="00AA0A07">
        <w:t xml:space="preserve">or </w:t>
      </w:r>
      <w:r w:rsidR="005C1CBD">
        <w:t>a nurse call</w:t>
      </w:r>
      <w:r w:rsidR="00DF3795">
        <w:t xml:space="preserve"> master station</w:t>
      </w:r>
      <w:r>
        <w:t xml:space="preserve">. At any time, the attendant may page by pager, pager group, station or zone. For convenience, system paging shall also be directly supported. Paging by station or zone shall occur through that station’s or zone’s paging assignments. For a station page, the attendant may select the levels of assignment (primary, secondary and/or tertiary) to be used in the page. For a call-related page, the default page message shall include information about the call, including the call type and room number requiring assistance. The attendant may edit the message </w:t>
      </w:r>
      <w:r w:rsidR="005A2B62">
        <w:t>or</w:t>
      </w:r>
      <w:r>
        <w:t xml:space="preserve"> make use of a pre-programmed list of patient n</w:t>
      </w:r>
      <w:r w:rsidR="005A2B62">
        <w:t>eeds.</w:t>
      </w:r>
    </w:p>
    <w:p w14:paraId="104121CA" w14:textId="77777777" w:rsidR="007B3BCF" w:rsidRDefault="00747E40" w:rsidP="006E55AD">
      <w:pPr>
        <w:spacing w:before="120" w:after="120"/>
      </w:pPr>
      <w:r>
        <w:t xml:space="preserve">Automatic paging shall be governed by paging assignments. When a call is placed from a patient station, the system shall automatically page pagers or pager groups assigned to that station or its zones. The properties of each assignment shall determine its applicability to the page, ensuring that pages reach exactly the staff members they concern. For example, a call of a particular type shall activate only those assignments whose call filters allow that type. For each call, automatic paging shall begin at the primary level and repeat at regular intervals. If the call is not reset, the page shall escalate to include secondary and eventually tertiary assignments. The pager shall display the location where the call originated (room ID), as well as the call type. Call resets and faults may also be paged automatically. </w:t>
      </w:r>
    </w:p>
    <w:p w14:paraId="2DB9F170" w14:textId="77777777" w:rsidR="00B6697C" w:rsidRDefault="00B6697C" w:rsidP="006E55AD">
      <w:pPr>
        <w:spacing w:before="120" w:after="120"/>
      </w:pPr>
      <w:r w:rsidRPr="00C60071">
        <w:rPr>
          <w:b/>
        </w:rPr>
        <w:t>Systems that require additional software or licensing to enable paging shall not be acceptable.</w:t>
      </w:r>
    </w:p>
    <w:p w14:paraId="51703239" w14:textId="77777777" w:rsidR="005C1CBD" w:rsidRPr="005C1CBD" w:rsidRDefault="005C1CBD" w:rsidP="005C1CBD">
      <w:pPr>
        <w:pStyle w:val="BodyTextIndent"/>
        <w:tabs>
          <w:tab w:val="clear" w:pos="360"/>
          <w:tab w:val="clear" w:pos="720"/>
        </w:tabs>
        <w:ind w:firstLine="0"/>
        <w:rPr>
          <w:b/>
        </w:rPr>
      </w:pPr>
      <w:r w:rsidRPr="005C1CBD">
        <w:rPr>
          <w:b/>
        </w:rPr>
        <w:t>The transmitter shall be TekTone</w:t>
      </w:r>
      <w:r w:rsidRPr="005C1CBD">
        <w:rPr>
          <w:b/>
          <w:vertAlign w:val="superscript"/>
        </w:rPr>
        <w:t>®</w:t>
      </w:r>
      <w:r w:rsidRPr="005C1CBD">
        <w:rPr>
          <w:b/>
        </w:rPr>
        <w:t xml:space="preserve"> NC365B</w:t>
      </w:r>
    </w:p>
    <w:p w14:paraId="58439B0F" w14:textId="77777777" w:rsidR="005C1CBD" w:rsidRDefault="005C1CBD" w:rsidP="005C1CBD">
      <w:pPr>
        <w:pStyle w:val="BodyTextIndent"/>
        <w:tabs>
          <w:tab w:val="clear" w:pos="360"/>
          <w:tab w:val="clear" w:pos="720"/>
        </w:tabs>
        <w:ind w:firstLine="0"/>
        <w:rPr>
          <w:b/>
        </w:rPr>
      </w:pPr>
      <w:r>
        <w:rPr>
          <w:b/>
        </w:rPr>
        <w:t xml:space="preserve">The alphanumeric pager shall be </w:t>
      </w:r>
      <w:r w:rsidRPr="00C60071">
        <w:rPr>
          <w:b/>
        </w:rPr>
        <w:t>TekTone</w:t>
      </w:r>
      <w:r w:rsidRPr="00C60071">
        <w:rPr>
          <w:b/>
          <w:vertAlign w:val="superscript"/>
        </w:rPr>
        <w:t>®</w:t>
      </w:r>
      <w:r w:rsidRPr="00C60071">
        <w:rPr>
          <w:b/>
        </w:rPr>
        <w:t xml:space="preserve"> </w:t>
      </w:r>
      <w:r>
        <w:rPr>
          <w:b/>
        </w:rPr>
        <w:t>NC397A</w:t>
      </w:r>
    </w:p>
    <w:p w14:paraId="34A06CEF" w14:textId="77777777" w:rsidR="005C1CBD" w:rsidRPr="005C1CBD" w:rsidRDefault="005C1CBD" w:rsidP="005C1CBD">
      <w:pPr>
        <w:pStyle w:val="BodyTextIndent"/>
        <w:tabs>
          <w:tab w:val="clear" w:pos="360"/>
          <w:tab w:val="clear" w:pos="720"/>
        </w:tabs>
        <w:ind w:firstLine="0"/>
      </w:pPr>
      <w:r>
        <w:rPr>
          <w:b/>
        </w:rPr>
        <w:t xml:space="preserve">The LED messaging sign shall be </w:t>
      </w:r>
      <w:r w:rsidRPr="00C60071">
        <w:rPr>
          <w:b/>
        </w:rPr>
        <w:t>TekTone</w:t>
      </w:r>
      <w:r w:rsidRPr="00C60071">
        <w:rPr>
          <w:b/>
          <w:vertAlign w:val="superscript"/>
        </w:rPr>
        <w:t>®</w:t>
      </w:r>
      <w:r w:rsidRPr="00C60071">
        <w:rPr>
          <w:b/>
        </w:rPr>
        <w:t xml:space="preserve"> </w:t>
      </w:r>
      <w:r>
        <w:rPr>
          <w:b/>
        </w:rPr>
        <w:t>SI005</w:t>
      </w:r>
    </w:p>
    <w:p w14:paraId="097FE88A" w14:textId="77777777" w:rsidR="00D838FB" w:rsidRPr="00C249C9" w:rsidRDefault="00D838FB" w:rsidP="006E55AD">
      <w:pPr>
        <w:pStyle w:val="Heading2"/>
      </w:pPr>
      <w:r w:rsidRPr="00C249C9">
        <w:t>Email Output</w:t>
      </w:r>
    </w:p>
    <w:p w14:paraId="0B08B633" w14:textId="77777777" w:rsidR="00F92DCE" w:rsidRDefault="00F92DCE" w:rsidP="00F92DCE">
      <w:pPr>
        <w:pStyle w:val="BodyText"/>
        <w:spacing w:line="276" w:lineRule="auto"/>
      </w:pPr>
      <w:r>
        <w:t xml:space="preserve">The contractor shall provide an interface to the facility’s mail server, model </w:t>
      </w:r>
      <w:r w:rsidRPr="008F3C80">
        <w:rPr>
          <w:i/>
        </w:rPr>
        <w:t xml:space="preserve">LS453 </w:t>
      </w:r>
      <w:r w:rsidRPr="000C19F7">
        <w:t>Email Output</w:t>
      </w:r>
      <w:r>
        <w:t xml:space="preserve"> software that routes calls from the nurse call system to email addresses as required. </w:t>
      </w:r>
    </w:p>
    <w:p w14:paraId="6842819D" w14:textId="77777777" w:rsidR="00F92DCE" w:rsidRDefault="00F92DCE" w:rsidP="00F92DCE">
      <w:pPr>
        <w:pStyle w:val="BodyText"/>
        <w:adjustRightInd/>
        <w:spacing w:line="276" w:lineRule="auto"/>
      </w:pPr>
      <w:r>
        <w:t xml:space="preserve">The email output software shall enable real-time event notifications to be sent to email addresses and any device with an email gateway. </w:t>
      </w:r>
    </w:p>
    <w:p w14:paraId="5A7361FD" w14:textId="77777777" w:rsidR="00F92DCE" w:rsidRDefault="00F92DCE" w:rsidP="00F92DCE">
      <w:pPr>
        <w:pStyle w:val="BodyText"/>
        <w:spacing w:line="276" w:lineRule="auto"/>
      </w:pPr>
      <w:r>
        <w:t xml:space="preserve">The </w:t>
      </w:r>
      <w:r w:rsidRPr="008F3C80">
        <w:rPr>
          <w:i/>
        </w:rPr>
        <w:t>LS453 Email Output</w:t>
      </w:r>
      <w:r>
        <w:t xml:space="preserve"> software shall allow users to create scheduled reports that are emailed directly to the specified users.</w:t>
      </w:r>
    </w:p>
    <w:p w14:paraId="17830DB7" w14:textId="77777777" w:rsidR="00F92DCE" w:rsidRDefault="00F92DCE" w:rsidP="00F92DCE">
      <w:pPr>
        <w:pStyle w:val="BodyText"/>
        <w:spacing w:line="276" w:lineRule="auto"/>
      </w:pPr>
      <w:r>
        <w:t>Email output software shall be available as an optional feature. It is not included with the basic nurse call system.</w:t>
      </w:r>
    </w:p>
    <w:p w14:paraId="19B1E10D" w14:textId="77777777" w:rsidR="0011373E" w:rsidRPr="00C249C9" w:rsidRDefault="0011373E" w:rsidP="0011373E">
      <w:pPr>
        <w:pStyle w:val="Heading2"/>
        <w:ind w:left="0" w:firstLine="0"/>
      </w:pPr>
      <w:r w:rsidRPr="00C249C9">
        <w:t xml:space="preserve">Wireless </w:t>
      </w:r>
      <w:r>
        <w:t>Nurse</w:t>
      </w:r>
      <w:r w:rsidRPr="00C249C9">
        <w:t xml:space="preserve"> Call Interface</w:t>
      </w:r>
    </w:p>
    <w:p w14:paraId="581372B5" w14:textId="77777777" w:rsidR="0011373E" w:rsidRDefault="0011373E" w:rsidP="0011373E">
      <w:pPr>
        <w:pStyle w:val="BodyText"/>
        <w:spacing w:line="276" w:lineRule="auto"/>
      </w:pPr>
      <w:r>
        <w:t>The contractor shall provide, as required, an interface to the Tek-CARE</w:t>
      </w:r>
      <w:r w:rsidRPr="00456243">
        <w:rPr>
          <w:vertAlign w:val="superscript"/>
        </w:rPr>
        <w:t>®</w:t>
      </w:r>
      <w:r>
        <w:t xml:space="preserve">500 wireless nurse call system, model </w:t>
      </w:r>
      <w:r w:rsidRPr="004D69E2">
        <w:rPr>
          <w:i/>
        </w:rPr>
        <w:t>LS5</w:t>
      </w:r>
      <w:r>
        <w:rPr>
          <w:i/>
        </w:rPr>
        <w:t>0</w:t>
      </w:r>
      <w:r w:rsidRPr="004D69E2">
        <w:rPr>
          <w:i/>
        </w:rPr>
        <w:t>0</w:t>
      </w:r>
      <w:r>
        <w:t>. The</w:t>
      </w:r>
      <w:r w:rsidRPr="00264A65">
        <w:rPr>
          <w:i/>
        </w:rPr>
        <w:t xml:space="preserve"> LS50</w:t>
      </w:r>
      <w:r>
        <w:rPr>
          <w:i/>
        </w:rPr>
        <w:t>0</w:t>
      </w:r>
      <w:r>
        <w:t xml:space="preserve"> interface shall enable the nurse call system server to:</w:t>
      </w:r>
    </w:p>
    <w:p w14:paraId="7D24726D" w14:textId="77777777" w:rsidR="0011373E" w:rsidRDefault="0011373E" w:rsidP="0011373E">
      <w:pPr>
        <w:pStyle w:val="BodyText"/>
        <w:numPr>
          <w:ilvl w:val="0"/>
          <w:numId w:val="2"/>
        </w:numPr>
        <w:spacing w:after="0"/>
        <w:ind w:left="720"/>
      </w:pPr>
      <w:r>
        <w:t>Display and respond to calls from Tek-CARE</w:t>
      </w:r>
      <w:r w:rsidRPr="00456243">
        <w:rPr>
          <w:vertAlign w:val="superscript"/>
        </w:rPr>
        <w:t>®</w:t>
      </w:r>
      <w:r>
        <w:t>500 wireless transmitters.</w:t>
      </w:r>
    </w:p>
    <w:p w14:paraId="7A46B648" w14:textId="77777777" w:rsidR="0011373E" w:rsidRDefault="0011373E" w:rsidP="0011373E">
      <w:pPr>
        <w:pStyle w:val="BodyText"/>
        <w:numPr>
          <w:ilvl w:val="0"/>
          <w:numId w:val="2"/>
        </w:numPr>
        <w:spacing w:after="0"/>
        <w:ind w:left="720"/>
      </w:pPr>
      <w:r>
        <w:t>Allow a single event monitor to display system events for both systems.</w:t>
      </w:r>
    </w:p>
    <w:p w14:paraId="05CBDD93" w14:textId="77777777" w:rsidR="0011373E" w:rsidRDefault="0011373E" w:rsidP="0011373E">
      <w:pPr>
        <w:pStyle w:val="BodyText"/>
        <w:numPr>
          <w:ilvl w:val="0"/>
          <w:numId w:val="2"/>
        </w:numPr>
        <w:spacing w:after="0"/>
        <w:ind w:left="720"/>
      </w:pPr>
      <w:r>
        <w:t>Allow a single reporting system to handle reporting for both systems.</w:t>
      </w:r>
    </w:p>
    <w:p w14:paraId="78FFF5CA" w14:textId="77777777" w:rsidR="0011373E" w:rsidRDefault="0011373E" w:rsidP="0011373E">
      <w:pPr>
        <w:pStyle w:val="BodyText"/>
        <w:numPr>
          <w:ilvl w:val="0"/>
          <w:numId w:val="2"/>
        </w:numPr>
        <w:spacing w:after="0"/>
        <w:ind w:left="720"/>
      </w:pPr>
      <w:r>
        <w:t xml:space="preserve">Use one pocket paging interface to handle both systems. </w:t>
      </w:r>
    </w:p>
    <w:p w14:paraId="0E8538BA" w14:textId="77777777" w:rsidR="001A76FF" w:rsidRDefault="001A76FF" w:rsidP="001A76FF">
      <w:pPr>
        <w:pStyle w:val="BodyText"/>
        <w:spacing w:after="0"/>
      </w:pPr>
    </w:p>
    <w:p w14:paraId="27DDF23E" w14:textId="77777777" w:rsidR="008B5474" w:rsidRDefault="0011373E" w:rsidP="0011373E">
      <w:pPr>
        <w:pStyle w:val="BodyText"/>
        <w:spacing w:line="276" w:lineRule="auto"/>
      </w:pPr>
      <w:r w:rsidRPr="00DB1042">
        <w:t xml:space="preserve">The </w:t>
      </w:r>
      <w:r>
        <w:t>wireless nurse call</w:t>
      </w:r>
      <w:r w:rsidRPr="00DB1042">
        <w:t xml:space="preserve"> interface shall be available as an optional feature. It is not included with the basic </w:t>
      </w:r>
      <w:r>
        <w:t>nurse call</w:t>
      </w:r>
      <w:r w:rsidRPr="00DB1042">
        <w:t xml:space="preserve"> system.</w:t>
      </w:r>
    </w:p>
    <w:p w14:paraId="08A2F09F" w14:textId="77777777" w:rsidR="002103AE" w:rsidRDefault="002103AE" w:rsidP="002103AE">
      <w:pPr>
        <w:pStyle w:val="Heading2"/>
      </w:pPr>
      <w:r>
        <w:lastRenderedPageBreak/>
        <w:t>Apple iOS Integration</w:t>
      </w:r>
    </w:p>
    <w:p w14:paraId="6DF5AACC" w14:textId="77777777" w:rsidR="009B602E" w:rsidRDefault="002103AE" w:rsidP="006E55AD">
      <w:pPr>
        <w:pStyle w:val="BodyText"/>
        <w:spacing w:line="276" w:lineRule="auto"/>
      </w:pPr>
      <w:r>
        <w:t>The contractor shall provide, as required, an interface to up to ten (10) Apple iPod Touch</w:t>
      </w:r>
      <w:r w:rsidR="006F21D1" w:rsidRPr="006F21D1">
        <w:rPr>
          <w:vertAlign w:val="superscript"/>
        </w:rPr>
        <w:t>®</w:t>
      </w:r>
      <w:r>
        <w:t xml:space="preserve"> and iPhone</w:t>
      </w:r>
      <w:r w:rsidR="006F21D1" w:rsidRPr="006F21D1">
        <w:rPr>
          <w:vertAlign w:val="superscript"/>
        </w:rPr>
        <w:t>®</w:t>
      </w:r>
      <w:r>
        <w:t xml:space="preserve"> and/or up to ten (10) Apple TV</w:t>
      </w:r>
      <w:r w:rsidR="006D4C9E" w:rsidRPr="006F21D1">
        <w:rPr>
          <w:vertAlign w:val="superscript"/>
        </w:rPr>
        <w:t>®</w:t>
      </w:r>
      <w:r>
        <w:t xml:space="preserve"> devices. The interface for iPod Touch</w:t>
      </w:r>
      <w:r w:rsidR="006D4C9E" w:rsidRPr="006F21D1">
        <w:rPr>
          <w:vertAlign w:val="superscript"/>
        </w:rPr>
        <w:t>®</w:t>
      </w:r>
      <w:r w:rsidR="003F463A">
        <w:t xml:space="preserve"> and</w:t>
      </w:r>
      <w:r>
        <w:t xml:space="preserve"> iPhone</w:t>
      </w:r>
      <w:r w:rsidR="006D4C9E" w:rsidRPr="006F21D1">
        <w:rPr>
          <w:vertAlign w:val="superscript"/>
        </w:rPr>
        <w:t>®</w:t>
      </w:r>
      <w:r w:rsidR="003F463A">
        <w:t xml:space="preserve"> shall be TekTone</w:t>
      </w:r>
      <w:r w:rsidR="006D4C9E" w:rsidRPr="006F21D1">
        <w:rPr>
          <w:vertAlign w:val="superscript"/>
        </w:rPr>
        <w:t>®</w:t>
      </w:r>
      <w:r w:rsidR="003F463A">
        <w:t xml:space="preserve"> </w:t>
      </w:r>
      <w:r w:rsidR="003F463A">
        <w:rPr>
          <w:i/>
        </w:rPr>
        <w:t>LS621.</w:t>
      </w:r>
      <w:r>
        <w:t xml:space="preserve"> </w:t>
      </w:r>
      <w:r w:rsidR="003F463A">
        <w:t xml:space="preserve">The </w:t>
      </w:r>
      <w:r>
        <w:t>Apple TV</w:t>
      </w:r>
      <w:r w:rsidR="006D4C9E" w:rsidRPr="006F21D1">
        <w:rPr>
          <w:vertAlign w:val="superscript"/>
        </w:rPr>
        <w:t>®</w:t>
      </w:r>
      <w:r>
        <w:t xml:space="preserve"> </w:t>
      </w:r>
      <w:r w:rsidR="003F463A">
        <w:t xml:space="preserve">interface </w:t>
      </w:r>
      <w:r>
        <w:t>shall be TekTone</w:t>
      </w:r>
      <w:r w:rsidR="006D4C9E" w:rsidRPr="006F21D1">
        <w:rPr>
          <w:vertAlign w:val="superscript"/>
        </w:rPr>
        <w:t>®</w:t>
      </w:r>
      <w:r>
        <w:t xml:space="preserve"> </w:t>
      </w:r>
      <w:r>
        <w:rPr>
          <w:i/>
        </w:rPr>
        <w:t>LS622-</w:t>
      </w:r>
      <w:r>
        <w:t>series</w:t>
      </w:r>
      <w:r w:rsidR="003F463A">
        <w:t>.</w:t>
      </w:r>
      <w:r>
        <w:t xml:space="preserve"> </w:t>
      </w:r>
      <w:r w:rsidR="003F463A">
        <w:t>T</w:t>
      </w:r>
      <w:r>
        <w:t>he required</w:t>
      </w:r>
      <w:r w:rsidR="006D4C9E">
        <w:t xml:space="preserve"> app</w:t>
      </w:r>
      <w:r>
        <w:t xml:space="preserve"> server shall be TekTone</w:t>
      </w:r>
      <w:r w:rsidR="006D4C9E" w:rsidRPr="006F21D1">
        <w:rPr>
          <w:vertAlign w:val="superscript"/>
        </w:rPr>
        <w:t>®</w:t>
      </w:r>
      <w:r>
        <w:t xml:space="preserve"> </w:t>
      </w:r>
      <w:r w:rsidRPr="002103AE">
        <w:rPr>
          <w:i/>
        </w:rPr>
        <w:t>LS620</w:t>
      </w:r>
      <w:r>
        <w:t>.</w:t>
      </w:r>
    </w:p>
    <w:p w14:paraId="04A6464E" w14:textId="77777777" w:rsidR="002103AE" w:rsidRDefault="002103AE" w:rsidP="006E55AD">
      <w:pPr>
        <w:pStyle w:val="BodyText"/>
        <w:spacing w:line="276" w:lineRule="auto"/>
      </w:pPr>
      <w:r>
        <w:t>The</w:t>
      </w:r>
      <w:r>
        <w:rPr>
          <w:i/>
        </w:rPr>
        <w:t xml:space="preserve"> </w:t>
      </w:r>
      <w:r>
        <w:t>iOS</w:t>
      </w:r>
      <w:r w:rsidR="000049DF" w:rsidRPr="006F21D1">
        <w:rPr>
          <w:vertAlign w:val="superscript"/>
        </w:rPr>
        <w:t>®</w:t>
      </w:r>
      <w:r>
        <w:t xml:space="preserve"> integration shall display calls from the </w:t>
      </w:r>
      <w:r w:rsidR="00F16174">
        <w:t>Wander Management System</w:t>
      </w:r>
      <w:r>
        <w:t xml:space="preserve"> to improve staff efficiency and awareness. Mobile iOS</w:t>
      </w:r>
      <w:r w:rsidR="000049DF" w:rsidRPr="006F21D1">
        <w:rPr>
          <w:vertAlign w:val="superscript"/>
        </w:rPr>
        <w:t>®</w:t>
      </w:r>
      <w:r>
        <w:t xml:space="preserve"> clients shall include the ability to set up to seven (7) individual statuses for each station present on the system. The iOS</w:t>
      </w:r>
      <w:r w:rsidR="000049DF" w:rsidRPr="006F21D1">
        <w:rPr>
          <w:vertAlign w:val="superscript"/>
        </w:rPr>
        <w:t>®</w:t>
      </w:r>
      <w:r>
        <w:t xml:space="preserve"> integrations shall only function when connected to the facility’s wireless LAN. iOS</w:t>
      </w:r>
      <w:r w:rsidR="000049DF" w:rsidRPr="006F21D1">
        <w:rPr>
          <w:vertAlign w:val="superscript"/>
        </w:rPr>
        <w:t>®</w:t>
      </w:r>
      <w:r>
        <w:t xml:space="preserve"> integrations that allow access to system calls when the iOS</w:t>
      </w:r>
      <w:r w:rsidR="000049DF" w:rsidRPr="006F21D1">
        <w:rPr>
          <w:vertAlign w:val="superscript"/>
        </w:rPr>
        <w:t>®</w:t>
      </w:r>
      <w:r>
        <w:t xml:space="preserve"> device is not on facility premises shall not be accepted.</w:t>
      </w:r>
    </w:p>
    <w:p w14:paraId="79E3CAEA" w14:textId="77777777" w:rsidR="003F463A" w:rsidRPr="00C249C9" w:rsidRDefault="003F463A" w:rsidP="003F463A">
      <w:pPr>
        <w:pStyle w:val="Heading2"/>
      </w:pPr>
      <w:r w:rsidRPr="00C249C9">
        <w:t>Foreign Systems Integration</w:t>
      </w:r>
    </w:p>
    <w:p w14:paraId="32EC7622" w14:textId="77777777" w:rsidR="003F463A" w:rsidRDefault="003F463A" w:rsidP="003F463A">
      <w:pPr>
        <w:pStyle w:val="BodyText"/>
      </w:pPr>
      <w:r>
        <w:t xml:space="preserve">The contractor shall provide, as required, a </w:t>
      </w:r>
      <w:r w:rsidRPr="000077EF">
        <w:t>Tek-BRIDGE</w:t>
      </w:r>
      <w:r w:rsidRPr="000077EF">
        <w:rPr>
          <w:vertAlign w:val="superscript"/>
        </w:rPr>
        <w:t>®</w:t>
      </w:r>
      <w:r>
        <w:t xml:space="preserve"> Server with </w:t>
      </w:r>
      <w:r w:rsidRPr="003F463A">
        <w:rPr>
          <w:i/>
        </w:rPr>
        <w:t>LS60</w:t>
      </w:r>
      <w:r>
        <w:rPr>
          <w:i/>
        </w:rPr>
        <w:t>0</w:t>
      </w:r>
      <w:r>
        <w:t xml:space="preserve"> Tek-ALERT</w:t>
      </w:r>
      <w:r w:rsidRPr="003F463A">
        <w:rPr>
          <w:vertAlign w:val="superscript"/>
        </w:rPr>
        <w:t>®</w:t>
      </w:r>
      <w:r>
        <w:t xml:space="preserve"> software and appropriate connection hardware</w:t>
      </w:r>
      <w:r w:rsidRPr="00790958">
        <w:rPr>
          <w:i/>
        </w:rPr>
        <w:t xml:space="preserve"> </w:t>
      </w:r>
      <w:r>
        <w:t xml:space="preserve">to enable the </w:t>
      </w:r>
      <w:r w:rsidR="00F16174">
        <w:t>Wander Management System</w:t>
      </w:r>
      <w:r>
        <w:t xml:space="preserve"> to monitor and display calls and status of connected foreign systems such as security systems, fire alarm systems, and more. </w:t>
      </w:r>
    </w:p>
    <w:p w14:paraId="347CCB65" w14:textId="77777777" w:rsidR="003F463A" w:rsidRPr="001D7044" w:rsidRDefault="003F463A" w:rsidP="003F463A">
      <w:pPr>
        <w:pStyle w:val="BodyText"/>
      </w:pPr>
      <w:r>
        <w:t xml:space="preserve">The monitored foreign system must supply an accessible data stream via one of the following protocols: Serial (event printing, Scope paging, </w:t>
      </w:r>
      <w:proofErr w:type="spellStart"/>
      <w:r>
        <w:t>ContactID</w:t>
      </w:r>
      <w:proofErr w:type="spellEnd"/>
      <w:r>
        <w:t xml:space="preserve">), </w:t>
      </w:r>
      <w:r w:rsidR="001C7BE0">
        <w:t>COMP2</w:t>
      </w:r>
      <w:r>
        <w:t>, TAP, HL7, TCP/IP, TCP/IP Listener</w:t>
      </w:r>
      <w:r w:rsidR="00467CC9">
        <w:t xml:space="preserve"> or</w:t>
      </w:r>
      <w:r>
        <w:t xml:space="preserve"> UDP.</w:t>
      </w:r>
      <w:r w:rsidR="00467CC9">
        <w:t xml:space="preserve"> </w:t>
      </w:r>
      <w:r>
        <w:t xml:space="preserve"> Contact TekTone</w:t>
      </w:r>
      <w:r w:rsidRPr="00790958">
        <w:rPr>
          <w:vertAlign w:val="superscript"/>
        </w:rPr>
        <w:t>®</w:t>
      </w:r>
      <w:r>
        <w:t xml:space="preserve"> if a protocol is not listed, as protocol libraries will grow.</w:t>
      </w:r>
    </w:p>
    <w:p w14:paraId="3293C1C0" w14:textId="77777777" w:rsidR="003F463A" w:rsidRDefault="003F463A" w:rsidP="003F463A">
      <w:pPr>
        <w:pStyle w:val="BodyText"/>
      </w:pPr>
      <w:r>
        <w:t>Foreign Systems Integration shall support the following features</w:t>
      </w:r>
    </w:p>
    <w:p w14:paraId="697CB758" w14:textId="77777777" w:rsidR="003F463A" w:rsidRDefault="003F463A" w:rsidP="003F463A">
      <w:pPr>
        <w:pStyle w:val="BodyText"/>
        <w:numPr>
          <w:ilvl w:val="0"/>
          <w:numId w:val="28"/>
        </w:numPr>
      </w:pPr>
      <w:r>
        <w:t>Once properly configured, the Tek-ALERT</w:t>
      </w:r>
      <w:r w:rsidRPr="003F463A">
        <w:rPr>
          <w:vertAlign w:val="superscript"/>
        </w:rPr>
        <w:t>®</w:t>
      </w:r>
      <w:r>
        <w:t xml:space="preserve"> Integration Manager shall receive events from monitored foreign systems and annunciate the events on the </w:t>
      </w:r>
      <w:r w:rsidR="00F16174">
        <w:t>Wander Management System</w:t>
      </w:r>
      <w:r>
        <w:t>.</w:t>
      </w:r>
    </w:p>
    <w:p w14:paraId="70928794" w14:textId="77777777" w:rsidR="003F463A" w:rsidRDefault="003F463A" w:rsidP="003F463A">
      <w:pPr>
        <w:pStyle w:val="BodyText"/>
        <w:numPr>
          <w:ilvl w:val="0"/>
          <w:numId w:val="28"/>
        </w:numPr>
      </w:pPr>
      <w:r>
        <w:t>Events from monitored foreign systems shall appear in the reports created by the Tek-CARE</w:t>
      </w:r>
      <w:r w:rsidRPr="00F57396">
        <w:rPr>
          <w:vertAlign w:val="superscript"/>
        </w:rPr>
        <w:t xml:space="preserve">® </w:t>
      </w:r>
      <w:r>
        <w:t>Reporting System.</w:t>
      </w:r>
    </w:p>
    <w:p w14:paraId="40682616" w14:textId="77777777" w:rsidR="009B602E" w:rsidRDefault="003F463A" w:rsidP="006E55AD">
      <w:pPr>
        <w:pStyle w:val="BodyText"/>
        <w:numPr>
          <w:ilvl w:val="0"/>
          <w:numId w:val="28"/>
        </w:numPr>
        <w:spacing w:line="276" w:lineRule="auto"/>
      </w:pPr>
      <w:r>
        <w:t>The Tek-ALERT Integration Manager shall not be used as the primary annunciation point for monitored foreign systems, but shall function as a secondary annunciation point. Tek-ALERT programming and use shall not interfere with the primary annunciation settings of the monitored foreign system(s).</w:t>
      </w:r>
    </w:p>
    <w:p w14:paraId="7689F46D" w14:textId="77777777" w:rsidR="001A76FF" w:rsidRDefault="001A76FF" w:rsidP="001A76FF">
      <w:pPr>
        <w:pStyle w:val="BodyText"/>
        <w:spacing w:line="276" w:lineRule="auto"/>
        <w:ind w:left="720"/>
      </w:pPr>
    </w:p>
    <w:p w14:paraId="25730305" w14:textId="77777777" w:rsidR="00D31AB1" w:rsidRPr="00E01CB7" w:rsidRDefault="00D31AB1" w:rsidP="006E55AD">
      <w:pPr>
        <w:pStyle w:val="Heading1"/>
      </w:pPr>
      <w:r w:rsidRPr="00E01CB7">
        <w:t xml:space="preserve">Part </w:t>
      </w:r>
      <w:r>
        <w:t>3</w:t>
      </w:r>
      <w:r w:rsidRPr="00E01CB7">
        <w:t xml:space="preserve">: </w:t>
      </w:r>
      <w:r>
        <w:t>Execution</w:t>
      </w:r>
    </w:p>
    <w:p w14:paraId="48478F63" w14:textId="77777777" w:rsidR="00FC1FBE" w:rsidRPr="00C249C9" w:rsidRDefault="00FC1FBE" w:rsidP="006E55AD">
      <w:pPr>
        <w:pStyle w:val="Heading2"/>
      </w:pPr>
      <w:r w:rsidRPr="00C249C9">
        <w:t xml:space="preserve">Supervision </w:t>
      </w:r>
    </w:p>
    <w:p w14:paraId="7C54A81F" w14:textId="77777777" w:rsidR="00FC1FBE" w:rsidRPr="00B3672F" w:rsidRDefault="00FC1FBE" w:rsidP="006E55AD">
      <w:pPr>
        <w:pStyle w:val="BodyTextIndent"/>
        <w:spacing w:line="276" w:lineRule="auto"/>
      </w:pPr>
      <w:r w:rsidRPr="00B3672F">
        <w:t>A.</w:t>
      </w:r>
      <w:r w:rsidRPr="00B3672F">
        <w:tab/>
        <w:t>Only TekTone</w:t>
      </w:r>
      <w:r w:rsidR="00456243" w:rsidRPr="00456243">
        <w:rPr>
          <w:vertAlign w:val="superscript"/>
        </w:rPr>
        <w:t>®</w:t>
      </w:r>
      <w:r>
        <w:t xml:space="preserve"> </w:t>
      </w:r>
      <w:r w:rsidR="00BF7F28">
        <w:t>authorized distributors</w:t>
      </w:r>
      <w:r w:rsidRPr="00B3672F">
        <w:t xml:space="preserve"> shall install, service</w:t>
      </w:r>
      <w:r w:rsidR="00790958">
        <w:t>,</w:t>
      </w:r>
      <w:r w:rsidRPr="00B3672F">
        <w:t xml:space="preserve"> and maintain the specified network system.</w:t>
      </w:r>
    </w:p>
    <w:p w14:paraId="56C2A153" w14:textId="77777777" w:rsidR="00FC1FBE" w:rsidRDefault="00FC1FBE" w:rsidP="006E55AD">
      <w:pPr>
        <w:pStyle w:val="BodyTextIndent"/>
        <w:spacing w:line="276" w:lineRule="auto"/>
      </w:pPr>
      <w:r w:rsidRPr="00B3672F">
        <w:t>B.</w:t>
      </w:r>
      <w:r w:rsidRPr="00B3672F">
        <w:tab/>
        <w:t>The manufacturer shall have the equipment manufacturer’s engineer or their designated agent inspect the installation and operation of this network to determine that the network complies w</w:t>
      </w:r>
      <w:r>
        <w:t>ith all standards listed in Section</w:t>
      </w:r>
      <w:r w:rsidRPr="00B3672F">
        <w:t xml:space="preserve"> </w:t>
      </w:r>
      <w:r w:rsidR="00903B6F">
        <w:t>2.3</w:t>
      </w:r>
      <w:r w:rsidRPr="00B3672F">
        <w:t>.</w:t>
      </w:r>
      <w:r>
        <w:t xml:space="preserve"> </w:t>
      </w:r>
    </w:p>
    <w:p w14:paraId="03B3D4EF" w14:textId="77777777" w:rsidR="001A76FF" w:rsidRDefault="001A76FF" w:rsidP="006E55AD">
      <w:pPr>
        <w:pStyle w:val="BodyTextIndent"/>
        <w:spacing w:line="276" w:lineRule="auto"/>
      </w:pPr>
    </w:p>
    <w:p w14:paraId="24FC77E5" w14:textId="77777777" w:rsidR="00FC1FBE" w:rsidRPr="00C249C9" w:rsidRDefault="00FC1FBE" w:rsidP="006E55AD">
      <w:pPr>
        <w:pStyle w:val="Heading2"/>
      </w:pPr>
      <w:r w:rsidRPr="00C249C9">
        <w:lastRenderedPageBreak/>
        <w:t xml:space="preserve">In-Service Training </w:t>
      </w:r>
    </w:p>
    <w:p w14:paraId="04903FF9" w14:textId="77777777" w:rsidR="00FC1FBE" w:rsidRPr="003B3405" w:rsidRDefault="00FC1FBE" w:rsidP="006E55AD">
      <w:pPr>
        <w:pStyle w:val="BodyText"/>
        <w:spacing w:line="276" w:lineRule="auto"/>
      </w:pPr>
      <w:r w:rsidRPr="003B3405">
        <w:t xml:space="preserve">The contractor shall provide thorough training of all nursing staff assigned to those nursing units receiving </w:t>
      </w:r>
      <w:r w:rsidR="005A2B62">
        <w:t xml:space="preserve">a </w:t>
      </w:r>
      <w:r w:rsidRPr="003B3405">
        <w:t xml:space="preserve">newly </w:t>
      </w:r>
      <w:r w:rsidR="00BF7F28">
        <w:t xml:space="preserve">installed </w:t>
      </w:r>
      <w:r w:rsidR="00F16174">
        <w:t>Wander Management System</w:t>
      </w:r>
      <w:r w:rsidRPr="003B3405">
        <w:t xml:space="preserve">. This training shall be developed and implemented to address two different types of staff: floor nurses/staff shall receive training that is specific to their tasks and responsibilities, and similarly, unit secretaries (or any person whose specific responsibilities include answering patient calls and dispatching staff) shall receive operational training from their perspective. A separate training room </w:t>
      </w:r>
      <w:r>
        <w:t>shall</w:t>
      </w:r>
      <w:r w:rsidRPr="003B3405">
        <w:t xml:space="preserve"> be set up that allows this type of individualized training utilizing </w:t>
      </w:r>
      <w:r w:rsidR="005A2B62">
        <w:t xml:space="preserve">an </w:t>
      </w:r>
      <w:r w:rsidRPr="003B3405">
        <w:t>in-service training unit, prior to the turning over of the new system.</w:t>
      </w:r>
    </w:p>
    <w:p w14:paraId="2CF2D447" w14:textId="77777777" w:rsidR="00FC1FBE" w:rsidRPr="00C249C9" w:rsidRDefault="00FC1FBE" w:rsidP="006E55AD">
      <w:pPr>
        <w:pStyle w:val="Heading2"/>
      </w:pPr>
      <w:r w:rsidRPr="00C249C9">
        <w:t xml:space="preserve">Wiring </w:t>
      </w:r>
    </w:p>
    <w:p w14:paraId="7AC670B2" w14:textId="77777777" w:rsidR="00FC1FBE" w:rsidRDefault="00FC1FBE" w:rsidP="006E55AD">
      <w:pPr>
        <w:pStyle w:val="BodyTextIndent"/>
        <w:spacing w:line="276" w:lineRule="auto"/>
      </w:pPr>
      <w:r>
        <w:t>A.</w:t>
      </w:r>
      <w:r>
        <w:tab/>
        <w:t xml:space="preserve">The contractor shall terminate all wiring with manufacturer’s approved connectors. The use of wire nuts is prohibited. </w:t>
      </w:r>
    </w:p>
    <w:p w14:paraId="29DE52C1" w14:textId="77777777" w:rsidR="00FC1FBE" w:rsidRDefault="00FC1FBE" w:rsidP="006E55AD">
      <w:pPr>
        <w:pStyle w:val="BodyTextIndent"/>
        <w:spacing w:line="276" w:lineRule="auto"/>
      </w:pPr>
      <w:r>
        <w:t>B.</w:t>
      </w:r>
      <w:r>
        <w:tab/>
        <w:t xml:space="preserve">All wiring shall be free from shorts and faults. </w:t>
      </w:r>
      <w:r w:rsidR="00BF7F28">
        <w:t>Wire</w:t>
      </w:r>
      <w:r>
        <w:t xml:space="preserve"> shall be UL</w:t>
      </w:r>
      <w:r w:rsidR="00456243" w:rsidRPr="00456243">
        <w:rPr>
          <w:vertAlign w:val="superscript"/>
        </w:rPr>
        <w:t>®</w:t>
      </w:r>
      <w:r>
        <w:t xml:space="preserve"> Listed, and installed in accordance with ANSI/NFPA 70, Article 25 and applicable sections of ANSI/NFPA 99, and compliant with the manufacturer’s installation and maintenance manual and specifications.</w:t>
      </w:r>
    </w:p>
    <w:p w14:paraId="511973C7" w14:textId="77777777" w:rsidR="00FC1FBE" w:rsidRDefault="00FC1FBE" w:rsidP="006E55AD">
      <w:pPr>
        <w:pStyle w:val="BodyTextIndent"/>
        <w:spacing w:line="276" w:lineRule="auto"/>
      </w:pPr>
      <w:r>
        <w:t>C.</w:t>
      </w:r>
      <w:r>
        <w:tab/>
        <w:t>Nurse patient communications network wiring shall not be run in the same conduit with other systems (e.g.: Class 1 AC power distribution, fire alarm, entertainment systems, lighting controls, etc.).</w:t>
      </w:r>
    </w:p>
    <w:p w14:paraId="587B85F0" w14:textId="77777777" w:rsidR="00FC1FBE" w:rsidRPr="00C249C9" w:rsidRDefault="00FC1FBE" w:rsidP="006E55AD">
      <w:pPr>
        <w:pStyle w:val="Heading2"/>
      </w:pPr>
      <w:r w:rsidRPr="00C249C9">
        <w:t xml:space="preserve">Electrical Power Connections </w:t>
      </w:r>
    </w:p>
    <w:p w14:paraId="15CE3091" w14:textId="77777777" w:rsidR="00D338C6" w:rsidRPr="00D338C6" w:rsidRDefault="00FC1FBE" w:rsidP="006E55AD">
      <w:pPr>
        <w:pStyle w:val="BodyText"/>
        <w:spacing w:line="276" w:lineRule="auto"/>
      </w:pPr>
      <w:r>
        <w:t xml:space="preserve">It shall be the responsibility of the facility to provide a dedicated </w:t>
      </w:r>
      <w:r w:rsidR="004F5234">
        <w:t xml:space="preserve">120 VAC, 60 Hz conduit feed for each </w:t>
      </w:r>
      <w:r w:rsidR="00DF3795">
        <w:t xml:space="preserve">CE module, </w:t>
      </w:r>
      <w:r w:rsidR="004F5234">
        <w:t>any re</w:t>
      </w:r>
      <w:r w:rsidR="00DF3795">
        <w:t xml:space="preserve">quired network switches, </w:t>
      </w:r>
      <w:r w:rsidR="004F5234">
        <w:t xml:space="preserve">and the </w:t>
      </w:r>
      <w:r w:rsidR="0057671A">
        <w:t>integration server</w:t>
      </w:r>
      <w:r>
        <w:t>. This power feed shall not have any other devices connected to it. A 20-amp circuit breaker shall be located in the electrical sub-panel. This circuit breaker shall be labeled “</w:t>
      </w:r>
      <w:r w:rsidR="00F30D94">
        <w:t>Wander management</w:t>
      </w:r>
      <w:r>
        <w:t>” along with identification of the Nursing Unit that shall be controlled by this circuit breaker. This electrical circuit shall be connected to the facility’s emergency power system for automatic power switchover during loss of utility power.</w:t>
      </w:r>
    </w:p>
    <w:p w14:paraId="2229DF21" w14:textId="77777777" w:rsidR="00FC1FBE" w:rsidRPr="00C249C9" w:rsidRDefault="00FC1FBE" w:rsidP="006E55AD">
      <w:pPr>
        <w:pStyle w:val="Heading2"/>
      </w:pPr>
      <w:r w:rsidRPr="00C249C9">
        <w:t xml:space="preserve">Environmental Protection </w:t>
      </w:r>
    </w:p>
    <w:p w14:paraId="3B61AE29" w14:textId="77777777" w:rsidR="009B602E" w:rsidRDefault="00FC1FBE" w:rsidP="006E55AD">
      <w:pPr>
        <w:pStyle w:val="BodyText"/>
        <w:spacing w:line="276" w:lineRule="auto"/>
      </w:pPr>
      <w:r w:rsidRPr="001A3F60">
        <w:t>The installing contractor shall make certain that all equipment is accessible for service. Contractor shall notify specifying authority if designated equipment closet does not meet manufacturer’s requirements for heat, radiation or static electricity.</w:t>
      </w:r>
    </w:p>
    <w:p w14:paraId="2D632513" w14:textId="77777777" w:rsidR="00FC1FBE" w:rsidRPr="00C249C9" w:rsidRDefault="00FC1FBE" w:rsidP="006E55AD">
      <w:pPr>
        <w:pStyle w:val="Heading2"/>
      </w:pPr>
      <w:r w:rsidRPr="00C249C9">
        <w:t xml:space="preserve">Protection </w:t>
      </w:r>
      <w:r w:rsidR="009B602E" w:rsidRPr="00C249C9">
        <w:t>of</w:t>
      </w:r>
      <w:r w:rsidRPr="00C249C9">
        <w:t xml:space="preserve"> Network Devices</w:t>
      </w:r>
    </w:p>
    <w:p w14:paraId="4F921CFF" w14:textId="77777777" w:rsidR="00FC1FBE" w:rsidRDefault="00FC1FBE" w:rsidP="006E55AD">
      <w:pPr>
        <w:pStyle w:val="BodyText"/>
        <w:spacing w:line="276" w:lineRule="auto"/>
      </w:pPr>
      <w:r w:rsidRPr="001A3F60">
        <w:t>The contractor shall protect network devices during unpacking and insta</w:t>
      </w:r>
      <w:r>
        <w:t>llation by wearing manufacturer-</w:t>
      </w:r>
      <w:r w:rsidRPr="001A3F60">
        <w:t xml:space="preserve">approved ESD wrist straps tied to </w:t>
      </w:r>
      <w:r>
        <w:t>earth</w:t>
      </w:r>
      <w:r w:rsidRPr="001A3F60">
        <w:t xml:space="preserve"> ground. The wrist strap shall meet OSHA requirements for </w:t>
      </w:r>
      <w:r>
        <w:t xml:space="preserve">prevention of electrical shock if </w:t>
      </w:r>
      <w:r w:rsidRPr="001A3F60">
        <w:t>technician come</w:t>
      </w:r>
      <w:r>
        <w:t>s</w:t>
      </w:r>
      <w:r w:rsidRPr="001A3F60">
        <w:t xml:space="preserve"> in contact with high voltage.</w:t>
      </w:r>
      <w:r>
        <w:t xml:space="preserve"> </w:t>
      </w:r>
    </w:p>
    <w:p w14:paraId="336F4D56" w14:textId="77777777" w:rsidR="00FC1FBE" w:rsidRPr="00C249C9" w:rsidRDefault="00FC1FBE" w:rsidP="006E55AD">
      <w:pPr>
        <w:pStyle w:val="Heading2"/>
      </w:pPr>
      <w:r w:rsidRPr="00C249C9">
        <w:t xml:space="preserve">Cleaning and Patching </w:t>
      </w:r>
    </w:p>
    <w:p w14:paraId="4FF6A8E5" w14:textId="77777777" w:rsidR="00FC1FBE" w:rsidRPr="001A3F60" w:rsidRDefault="00FC1FBE" w:rsidP="006E55AD">
      <w:pPr>
        <w:pStyle w:val="BodyTextIndent1loose"/>
        <w:spacing w:line="276" w:lineRule="auto"/>
      </w:pPr>
      <w:r w:rsidRPr="001A3F60">
        <w:t>A.</w:t>
      </w:r>
      <w:r w:rsidRPr="001A3F60">
        <w:tab/>
        <w:t xml:space="preserve">It shall be the responsibility of the contractor to keep the work area clear of debris and </w:t>
      </w:r>
      <w:r>
        <w:t xml:space="preserve">to </w:t>
      </w:r>
      <w:r w:rsidRPr="001A3F60">
        <w:t xml:space="preserve">clean area </w:t>
      </w:r>
      <w:r>
        <w:t xml:space="preserve">daily </w:t>
      </w:r>
      <w:r w:rsidRPr="001A3F60">
        <w:t>at completion of work.</w:t>
      </w:r>
    </w:p>
    <w:p w14:paraId="44BA2C10" w14:textId="77777777" w:rsidR="00FC1FBE" w:rsidRDefault="00FC1FBE" w:rsidP="006E55AD">
      <w:pPr>
        <w:pStyle w:val="BodyTextIndent1loose"/>
        <w:spacing w:line="276" w:lineRule="auto"/>
      </w:pPr>
      <w:r w:rsidRPr="001A3F60">
        <w:lastRenderedPageBreak/>
        <w:t>B.</w:t>
      </w:r>
      <w:r w:rsidRPr="001A3F60">
        <w:tab/>
        <w:t>It shall be the responsibility of the contractor to patch and paint any wall or surface that has been disturbed by the execution of this work.</w:t>
      </w:r>
      <w:r>
        <w:t xml:space="preserve"> </w:t>
      </w:r>
    </w:p>
    <w:p w14:paraId="3539379B" w14:textId="77777777" w:rsidR="00FC1FBE" w:rsidRPr="00C249C9" w:rsidRDefault="00FC1FBE" w:rsidP="006E55AD">
      <w:pPr>
        <w:pStyle w:val="Heading2"/>
      </w:pPr>
      <w:r w:rsidRPr="00C249C9">
        <w:t xml:space="preserve">Drawings </w:t>
      </w:r>
    </w:p>
    <w:p w14:paraId="6F170E52" w14:textId="77777777" w:rsidR="00A96703" w:rsidRDefault="002103AE" w:rsidP="006E55AD">
      <w:pPr>
        <w:pStyle w:val="BodyText"/>
        <w:spacing w:line="276" w:lineRule="auto"/>
      </w:pPr>
      <w:r>
        <w:t>Upon completion, the contractor shall p</w:t>
      </w:r>
      <w:r w:rsidR="00FC1FBE" w:rsidRPr="001A3F60">
        <w:t>rovide as-built drawings of all installed network components and associated wiring on building plans. Final payment for work will not be authorized unless these drawings are supplied.</w:t>
      </w:r>
      <w:r w:rsidR="00FC1FBE">
        <w:t xml:space="preserve"> </w:t>
      </w:r>
    </w:p>
    <w:p w14:paraId="628D57E6" w14:textId="77777777" w:rsidR="00B81A33" w:rsidRDefault="00B81A33">
      <w:pPr>
        <w:spacing w:after="0" w:line="240" w:lineRule="auto"/>
        <w:ind w:left="0"/>
        <w:jc w:val="left"/>
        <w:rPr>
          <w:rFonts w:eastAsia="Calibri"/>
          <w:szCs w:val="24"/>
        </w:rPr>
      </w:pPr>
      <w:r>
        <w:br w:type="page"/>
      </w:r>
    </w:p>
    <w:p w14:paraId="6371F2FC" w14:textId="77777777" w:rsidR="00A96703" w:rsidRDefault="00A96703" w:rsidP="006E55AD">
      <w:pPr>
        <w:pStyle w:val="BodyText"/>
        <w:spacing w:line="276" w:lineRule="auto"/>
      </w:pPr>
    </w:p>
    <w:p w14:paraId="2583A4FC" w14:textId="77777777" w:rsidR="00A3421B" w:rsidRDefault="00A3421B" w:rsidP="006E55AD">
      <w:pPr>
        <w:pStyle w:val="Heading2"/>
        <w:numPr>
          <w:ilvl w:val="0"/>
          <w:numId w:val="0"/>
        </w:numPr>
        <w:pBdr>
          <w:bottom w:val="none" w:sz="0" w:space="0" w:color="auto"/>
        </w:pBdr>
        <w:shd w:val="clear" w:color="auto" w:fill="F2F2F2"/>
        <w:jc w:val="center"/>
      </w:pPr>
      <w:r>
        <w:t xml:space="preserve">Website Disclaimer and Legal Notice for Downloadable </w:t>
      </w:r>
      <w:r>
        <w:br/>
        <w:t>Architects &amp; Engineers Specifications</w:t>
      </w:r>
    </w:p>
    <w:p w14:paraId="465D1F8E" w14:textId="77777777" w:rsidR="00A3421B" w:rsidRDefault="00A3421B" w:rsidP="006E55AD">
      <w:pPr>
        <w:pStyle w:val="BodyText"/>
        <w:spacing w:line="276" w:lineRule="auto"/>
      </w:pPr>
      <w:r>
        <w:t>The specifications attached herein are being supplied in a text format for your convenience. TekTone</w:t>
      </w:r>
      <w:r w:rsidR="00456243" w:rsidRPr="00456243">
        <w:rPr>
          <w:vertAlign w:val="superscript"/>
        </w:rPr>
        <w:t>®</w:t>
      </w:r>
      <w:r>
        <w:t xml:space="preserve"> Sound &amp; Signal Mfg., Inc. is not responsible for any changes made to the original documents.</w:t>
      </w:r>
    </w:p>
    <w:p w14:paraId="7D90536A" w14:textId="77777777" w:rsidR="00A3421B" w:rsidRDefault="00A3421B" w:rsidP="006E55AD">
      <w:pPr>
        <w:pStyle w:val="BodyText"/>
        <w:spacing w:line="276" w:lineRule="auto"/>
      </w:pPr>
      <w:r>
        <w:t>As with any other TekTone</w:t>
      </w:r>
      <w:r w:rsidR="00456243" w:rsidRPr="00456243">
        <w:rPr>
          <w:vertAlign w:val="superscript"/>
        </w:rPr>
        <w:t>®</w:t>
      </w:r>
      <w:r>
        <w:t xml:space="preserve"> Sound &amp; Signal Mfg., Inc. document, please be advised that the information was prepared by TekTone</w:t>
      </w:r>
      <w:r w:rsidR="00456243" w:rsidRPr="00456243">
        <w:rPr>
          <w:vertAlign w:val="superscript"/>
        </w:rPr>
        <w:t>®</w:t>
      </w:r>
      <w:r>
        <w:t xml:space="preserve"> Sound &amp; Signal Mfg., Inc. as general information and a service to our customers. While we endeavor to supply accurate information, we can take no responsibility for errors or misinterpretations in any of the content of this site. We also reserve the right to remove or change literature and pages from this site where legal requirements are contravened or where complaints are received and upheld. </w:t>
      </w:r>
    </w:p>
    <w:p w14:paraId="24DCF8A1" w14:textId="77777777" w:rsidR="00A3421B" w:rsidRDefault="00A3421B" w:rsidP="006E55AD">
      <w:pPr>
        <w:pStyle w:val="BodyText"/>
        <w:spacing w:line="276" w:lineRule="auto"/>
      </w:pPr>
      <w:r>
        <w:t>Except in the case of third-party material reproduced on this site, the information and all content, including logos and artwork, provided herein is protected under the U.S. and Foreign Copyright Laws and may not be copied, reproduced or retransmitted by any means, electronically or otherwise, without the express written permission of TekTone</w:t>
      </w:r>
      <w:r w:rsidR="00456243" w:rsidRPr="00456243">
        <w:rPr>
          <w:vertAlign w:val="superscript"/>
        </w:rPr>
        <w:t>®</w:t>
      </w:r>
      <w:r>
        <w:t xml:space="preserve"> Sound &amp; Signal Mfg., Inc.</w:t>
      </w:r>
    </w:p>
    <w:p w14:paraId="4C3AFA5A" w14:textId="77777777" w:rsidR="00A3421B" w:rsidRDefault="00A3421B" w:rsidP="006E55AD">
      <w:pPr>
        <w:pStyle w:val="BodyText"/>
        <w:spacing w:line="276" w:lineRule="auto"/>
      </w:pPr>
      <w:r>
        <w:rPr>
          <w:b/>
          <w:bCs/>
        </w:rPr>
        <w:t xml:space="preserve">Modifications. </w:t>
      </w:r>
      <w:r>
        <w:t>All modified specifications will include the following ledger: Modified specifications are based upon TekTone</w:t>
      </w:r>
      <w:r w:rsidR="00456243" w:rsidRPr="00456243">
        <w:rPr>
          <w:vertAlign w:val="superscript"/>
        </w:rPr>
        <w:t>®</w:t>
      </w:r>
      <w:r>
        <w:t xml:space="preserve"> Sound &amp; Signal Mfg., Inc. product specifications. Modified specifications have not been reviewed or approved by TekTone</w:t>
      </w:r>
      <w:r w:rsidR="00456243" w:rsidRPr="00456243">
        <w:rPr>
          <w:vertAlign w:val="superscript"/>
        </w:rPr>
        <w:t>®</w:t>
      </w:r>
      <w:r>
        <w:t xml:space="preserve"> Sound &amp; Signal Mfg., Inc., unless so noted.</w:t>
      </w:r>
    </w:p>
    <w:p w14:paraId="0DA31B93" w14:textId="77777777" w:rsidR="00A3421B" w:rsidRDefault="00A3421B" w:rsidP="006E55AD">
      <w:pPr>
        <w:pStyle w:val="BodyText"/>
        <w:spacing w:line="276" w:lineRule="auto"/>
      </w:pPr>
      <w:r>
        <w:rPr>
          <w:b/>
          <w:bCs/>
        </w:rPr>
        <w:t xml:space="preserve">Indemnification. </w:t>
      </w:r>
      <w:r>
        <w:t>It is agreed that TekTone</w:t>
      </w:r>
      <w:r w:rsidR="00456243" w:rsidRPr="00456243">
        <w:rPr>
          <w:vertAlign w:val="superscript"/>
        </w:rPr>
        <w:t>®</w:t>
      </w:r>
      <w:r>
        <w:t xml:space="preserve"> will be held harmless from any claims, causes of action, pending or threatened, losses, awards, damages or attorney’s fees arising out of any suit or claim relating to the use and/or modification of the specifications.</w:t>
      </w:r>
    </w:p>
    <w:p w14:paraId="456597D1" w14:textId="77777777" w:rsidR="00A3421B" w:rsidRDefault="00A3421B" w:rsidP="006E55AD">
      <w:pPr>
        <w:pStyle w:val="BodyText"/>
        <w:spacing w:line="276" w:lineRule="auto"/>
      </w:pPr>
      <w:r>
        <w:rPr>
          <w:b/>
          <w:bCs/>
        </w:rPr>
        <w:t xml:space="preserve">Reservation of Rights. </w:t>
      </w:r>
      <w:r>
        <w:t>This disclosure is not intended, nor shall it be construed, to release any right, title or interest in any name, trademark, trade name, advertising slogan, specification, or confidential information, but is solely intended to provide a revocable license to use the specification material for the contemplated use.</w:t>
      </w:r>
    </w:p>
    <w:p w14:paraId="657DF65B" w14:textId="77777777" w:rsidR="00FC1FBE" w:rsidRPr="00A3421B" w:rsidRDefault="00A3421B" w:rsidP="006E55AD">
      <w:pPr>
        <w:jc w:val="center"/>
        <w:rPr>
          <w:b/>
        </w:rPr>
      </w:pPr>
      <w:r w:rsidRPr="00FE5F2B">
        <w:rPr>
          <w:b/>
        </w:rPr>
        <w:t>END OF SECTION</w:t>
      </w:r>
    </w:p>
    <w:sectPr w:rsidR="00FC1FBE" w:rsidRPr="00A3421B" w:rsidSect="00262FC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99448" w14:textId="77777777" w:rsidR="00183C5D" w:rsidRDefault="00183C5D" w:rsidP="004F4247">
      <w:r>
        <w:separator/>
      </w:r>
    </w:p>
  </w:endnote>
  <w:endnote w:type="continuationSeparator" w:id="0">
    <w:p w14:paraId="24BE3D57" w14:textId="77777777" w:rsidR="00183C5D" w:rsidRDefault="00183C5D" w:rsidP="004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ECA4" w14:textId="77777777" w:rsidR="000B562D" w:rsidRDefault="000B56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5D37" w14:textId="77777777" w:rsidR="00074A68" w:rsidRDefault="00074A68" w:rsidP="004F4247">
    <w:pPr>
      <w:pStyle w:val="Footer"/>
    </w:pPr>
    <w:r>
      <w:rPr>
        <w:rStyle w:val="PageNumber"/>
        <w:b/>
        <w:bCs/>
      </w:rPr>
      <w:t>Project:</w:t>
    </w:r>
    <w:r>
      <w:rPr>
        <w:rStyle w:val="PageNumber"/>
        <w:b/>
        <w:bCs/>
      </w:rPr>
      <w:tab/>
    </w:r>
    <w:r>
      <w:rPr>
        <w:rStyle w:val="PageNumber"/>
        <w:b/>
        <w:bCs/>
      </w:rPr>
      <w:fldChar w:fldCharType="begin"/>
    </w:r>
    <w:r>
      <w:rPr>
        <w:rStyle w:val="PageNumber"/>
        <w:b/>
        <w:bCs/>
      </w:rPr>
      <w:instrText xml:space="preserve"> DATE \@ "M/d/yy" </w:instrText>
    </w:r>
    <w:r>
      <w:rPr>
        <w:rStyle w:val="PageNumber"/>
        <w:b/>
        <w:bCs/>
      </w:rPr>
      <w:fldChar w:fldCharType="separate"/>
    </w:r>
    <w:r w:rsidR="00184742">
      <w:rPr>
        <w:rStyle w:val="PageNumber"/>
        <w:b/>
        <w:bCs/>
        <w:noProof/>
      </w:rPr>
      <w:t>8/29/17</w:t>
    </w:r>
    <w:r>
      <w:rPr>
        <w:rStyle w:val="PageNumber"/>
        <w:b/>
        <w:bCs/>
      </w:rPr>
      <w:fldChar w:fldCharType="end"/>
    </w:r>
    <w:r>
      <w:rPr>
        <w:rStyle w:val="PageNumber"/>
        <w:b/>
        <w:bCs/>
      </w:rPr>
      <w:tab/>
    </w:r>
    <w:r>
      <w:rPr>
        <w:rStyle w:val="PageNumber"/>
        <w:b/>
        <w:bCs/>
      </w:rPr>
      <w:fldChar w:fldCharType="begin"/>
    </w:r>
    <w:r>
      <w:rPr>
        <w:rStyle w:val="PageNumber"/>
        <w:b/>
        <w:bCs/>
      </w:rPr>
      <w:instrText xml:space="preserve"> PAGE </w:instrText>
    </w:r>
    <w:r>
      <w:rPr>
        <w:rStyle w:val="PageNumber"/>
        <w:b/>
        <w:bCs/>
      </w:rPr>
      <w:fldChar w:fldCharType="separate"/>
    </w:r>
    <w:r w:rsidR="009B2159">
      <w:rPr>
        <w:rStyle w:val="PageNumber"/>
        <w:b/>
        <w:bCs/>
        <w:noProof/>
      </w:rPr>
      <w:t>1</w:t>
    </w:r>
    <w:r>
      <w:rPr>
        <w:rStyle w:val="PageNumber"/>
        <w:b/>
        <w:bCs/>
      </w:rPr>
      <w:fldChar w:fldCharType="end"/>
    </w:r>
  </w:p>
  <w:p w14:paraId="722AF7AB" w14:textId="77777777" w:rsidR="00074A68" w:rsidRDefault="00074A68" w:rsidP="004F42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43973" w14:textId="77777777" w:rsidR="000B562D" w:rsidRDefault="000B56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06D70" w14:textId="77777777" w:rsidR="00183C5D" w:rsidRDefault="00183C5D" w:rsidP="004F4247">
      <w:r>
        <w:separator/>
      </w:r>
    </w:p>
  </w:footnote>
  <w:footnote w:type="continuationSeparator" w:id="0">
    <w:p w14:paraId="74CE7EB4" w14:textId="77777777" w:rsidR="00183C5D" w:rsidRDefault="00183C5D" w:rsidP="004F42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5AAF" w14:textId="77777777" w:rsidR="000B562D" w:rsidRDefault="000B56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9716" w14:textId="77777777" w:rsidR="00074A68" w:rsidRPr="004F4247" w:rsidRDefault="00074A68" w:rsidP="004F4247">
    <w:pPr>
      <w:pStyle w:val="Header"/>
      <w:tabs>
        <w:tab w:val="clear" w:pos="4680"/>
      </w:tabs>
      <w:ind w:left="0"/>
      <w:rPr>
        <w:sz w:val="16"/>
        <w:szCs w:val="16"/>
      </w:rPr>
    </w:pPr>
    <w:r>
      <w:rPr>
        <w:sz w:val="16"/>
        <w:szCs w:val="16"/>
      </w:rPr>
      <w:t xml:space="preserve">Section 27 52 23 </w:t>
    </w:r>
    <w:r w:rsidRPr="004F4247">
      <w:rPr>
        <w:sz w:val="16"/>
        <w:szCs w:val="16"/>
      </w:rPr>
      <w:t xml:space="preserve">Rev. </w:t>
    </w:r>
    <w:r w:rsidR="000B562D">
      <w:rPr>
        <w:sz w:val="16"/>
        <w:szCs w:val="16"/>
      </w:rPr>
      <w:t>1</w:t>
    </w:r>
    <w:r>
      <w:rPr>
        <w:sz w:val="16"/>
        <w:szCs w:val="16"/>
      </w:rPr>
      <w:t>,</w:t>
    </w:r>
    <w:r w:rsidR="004A1D36">
      <w:rPr>
        <w:sz w:val="16"/>
        <w:szCs w:val="16"/>
      </w:rPr>
      <w:t>08/2</w:t>
    </w:r>
    <w:r w:rsidR="00C83086">
      <w:rPr>
        <w:sz w:val="16"/>
        <w:szCs w:val="16"/>
      </w:rPr>
      <w:t>4</w:t>
    </w:r>
    <w:r>
      <w:rPr>
        <w:sz w:val="16"/>
        <w:szCs w:val="16"/>
      </w:rPr>
      <w:t>/17</w:t>
    </w:r>
    <w:r w:rsidRPr="004F4247">
      <w:rPr>
        <w:sz w:val="16"/>
        <w:szCs w:val="16"/>
      </w:rPr>
      <w:tab/>
    </w:r>
    <w:r>
      <w:rPr>
        <w:sz w:val="16"/>
        <w:szCs w:val="16"/>
      </w:rPr>
      <w:t>Tek-CARE</w:t>
    </w:r>
    <w:r w:rsidRPr="00456243">
      <w:rPr>
        <w:sz w:val="16"/>
        <w:szCs w:val="16"/>
        <w:vertAlign w:val="superscript"/>
      </w:rPr>
      <w:t>®</w:t>
    </w:r>
    <w:r>
      <w:rPr>
        <w:sz w:val="16"/>
        <w:szCs w:val="16"/>
      </w:rPr>
      <w:t>700 Wandering Management System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447C" w14:textId="77777777" w:rsidR="000B562D" w:rsidRDefault="000B56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6AB"/>
    <w:multiLevelType w:val="hybridMultilevel"/>
    <w:tmpl w:val="97704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BF0E51"/>
    <w:multiLevelType w:val="hybridMultilevel"/>
    <w:tmpl w:val="23E8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379BF"/>
    <w:multiLevelType w:val="hybridMultilevel"/>
    <w:tmpl w:val="D5AE2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95224"/>
    <w:multiLevelType w:val="hybridMultilevel"/>
    <w:tmpl w:val="894CCF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0545609A"/>
    <w:multiLevelType w:val="hybridMultilevel"/>
    <w:tmpl w:val="6C742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451A39"/>
    <w:multiLevelType w:val="hybridMultilevel"/>
    <w:tmpl w:val="86BE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5455C0"/>
    <w:multiLevelType w:val="hybridMultilevel"/>
    <w:tmpl w:val="79A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022C2"/>
    <w:multiLevelType w:val="multilevel"/>
    <w:tmpl w:val="59B298C2"/>
    <w:lvl w:ilvl="0">
      <w:start w:val="1"/>
      <w:numFmt w:val="decimal"/>
      <w:pStyle w:val="Heading1"/>
      <w:lvlText w:val="%1"/>
      <w:lvlJc w:val="left"/>
      <w:pPr>
        <w:ind w:left="4032" w:hanging="432"/>
      </w:pPr>
      <w:rPr>
        <w:color w:val="F2F2F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825027C"/>
    <w:multiLevelType w:val="multilevel"/>
    <w:tmpl w:val="8D70A6EE"/>
    <w:lvl w:ilvl="0">
      <w:start w:val="1"/>
      <w:numFmt w:val="decimal"/>
      <w:lvlText w:val="%1."/>
      <w:lvlJc w:val="left"/>
      <w:pPr>
        <w:ind w:left="720" w:hanging="360"/>
      </w:pPr>
      <w:rPr>
        <w:rFonts w:hint="default"/>
      </w:r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BA77A42"/>
    <w:multiLevelType w:val="hybridMultilevel"/>
    <w:tmpl w:val="05A4A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B52602"/>
    <w:multiLevelType w:val="hybridMultilevel"/>
    <w:tmpl w:val="203C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C55E4D"/>
    <w:multiLevelType w:val="hybridMultilevel"/>
    <w:tmpl w:val="CF72D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E52217"/>
    <w:multiLevelType w:val="hybridMultilevel"/>
    <w:tmpl w:val="16B68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CF112C"/>
    <w:multiLevelType w:val="hybridMultilevel"/>
    <w:tmpl w:val="D688A8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9F3905"/>
    <w:multiLevelType w:val="hybridMultilevel"/>
    <w:tmpl w:val="5CCED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C5EAB"/>
    <w:multiLevelType w:val="hybridMultilevel"/>
    <w:tmpl w:val="04A45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BA78E5"/>
    <w:multiLevelType w:val="hybridMultilevel"/>
    <w:tmpl w:val="90883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6A2A34"/>
    <w:multiLevelType w:val="hybridMultilevel"/>
    <w:tmpl w:val="BFC0B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6908D4"/>
    <w:multiLevelType w:val="hybridMultilevel"/>
    <w:tmpl w:val="428A11B0"/>
    <w:lvl w:ilvl="0" w:tplc="CF464FA0">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36370B"/>
    <w:multiLevelType w:val="hybridMultilevel"/>
    <w:tmpl w:val="D90C5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0D433E"/>
    <w:multiLevelType w:val="hybridMultilevel"/>
    <w:tmpl w:val="AB9C0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4F3914"/>
    <w:multiLevelType w:val="hybridMultilevel"/>
    <w:tmpl w:val="E81E50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3E27BD"/>
    <w:multiLevelType w:val="hybridMultilevel"/>
    <w:tmpl w:val="6B5AD230"/>
    <w:lvl w:ilvl="0" w:tplc="F272822C">
      <w:start w:val="1"/>
      <w:numFmt w:val="decimal"/>
      <w:pStyle w:val="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BE7245"/>
    <w:multiLevelType w:val="hybridMultilevel"/>
    <w:tmpl w:val="15DA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927F4"/>
    <w:multiLevelType w:val="hybridMultilevel"/>
    <w:tmpl w:val="213A1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B97822"/>
    <w:multiLevelType w:val="hybridMultilevel"/>
    <w:tmpl w:val="34A4EB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646B2EFC"/>
    <w:multiLevelType w:val="hybridMultilevel"/>
    <w:tmpl w:val="6AB2C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72784B"/>
    <w:multiLevelType w:val="hybridMultilevel"/>
    <w:tmpl w:val="9462E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F64846"/>
    <w:multiLevelType w:val="multilevel"/>
    <w:tmpl w:val="BA0C10C2"/>
    <w:lvl w:ilvl="0">
      <w:start w:val="1"/>
      <w:numFmt w:val="decimal"/>
      <w:lvlText w:val="%1."/>
      <w:lvlJc w:val="left"/>
      <w:pPr>
        <w:ind w:left="720" w:hanging="360"/>
      </w:pPr>
      <w:rPr>
        <w:rFonts w:hint="default"/>
      </w:rPr>
    </w:lvl>
    <w:lvl w:ilvl="1">
      <w:start w:val="2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E7F48BF"/>
    <w:multiLevelType w:val="hybridMultilevel"/>
    <w:tmpl w:val="1C263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E3463E"/>
    <w:multiLevelType w:val="hybridMultilevel"/>
    <w:tmpl w:val="D0C4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636847"/>
    <w:multiLevelType w:val="hybridMultilevel"/>
    <w:tmpl w:val="2EC4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75016"/>
    <w:multiLevelType w:val="hybridMultilevel"/>
    <w:tmpl w:val="5CEE6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3617EE"/>
    <w:multiLevelType w:val="hybridMultilevel"/>
    <w:tmpl w:val="486A9EBA"/>
    <w:lvl w:ilvl="0" w:tplc="ECBCAE8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6A52D6"/>
    <w:multiLevelType w:val="hybridMultilevel"/>
    <w:tmpl w:val="4386D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4437C4"/>
    <w:multiLevelType w:val="hybridMultilevel"/>
    <w:tmpl w:val="485E9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D03D3F"/>
    <w:multiLevelType w:val="hybridMultilevel"/>
    <w:tmpl w:val="9CE69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0"/>
  </w:num>
  <w:num w:numId="4">
    <w:abstractNumId w:val="18"/>
  </w:num>
  <w:num w:numId="5">
    <w:abstractNumId w:val="22"/>
  </w:num>
  <w:num w:numId="6">
    <w:abstractNumId w:val="35"/>
  </w:num>
  <w:num w:numId="7">
    <w:abstractNumId w:val="12"/>
  </w:num>
  <w:num w:numId="8">
    <w:abstractNumId w:val="13"/>
  </w:num>
  <w:num w:numId="9">
    <w:abstractNumId w:val="26"/>
  </w:num>
  <w:num w:numId="10">
    <w:abstractNumId w:val="16"/>
  </w:num>
  <w:num w:numId="11">
    <w:abstractNumId w:val="21"/>
  </w:num>
  <w:num w:numId="12">
    <w:abstractNumId w:val="4"/>
  </w:num>
  <w:num w:numId="13">
    <w:abstractNumId w:val="5"/>
  </w:num>
  <w:num w:numId="14">
    <w:abstractNumId w:val="33"/>
  </w:num>
  <w:num w:numId="15">
    <w:abstractNumId w:val="14"/>
  </w:num>
  <w:num w:numId="16">
    <w:abstractNumId w:val="27"/>
  </w:num>
  <w:num w:numId="17">
    <w:abstractNumId w:val="11"/>
  </w:num>
  <w:num w:numId="18">
    <w:abstractNumId w:val="29"/>
  </w:num>
  <w:num w:numId="19">
    <w:abstractNumId w:val="24"/>
  </w:num>
  <w:num w:numId="20">
    <w:abstractNumId w:val="6"/>
  </w:num>
  <w:num w:numId="21">
    <w:abstractNumId w:val="3"/>
  </w:num>
  <w:num w:numId="22">
    <w:abstractNumId w:val="28"/>
  </w:num>
  <w:num w:numId="23">
    <w:abstractNumId w:val="2"/>
  </w:num>
  <w:num w:numId="24">
    <w:abstractNumId w:val="1"/>
  </w:num>
  <w:num w:numId="25">
    <w:abstractNumId w:val="25"/>
  </w:num>
  <w:num w:numId="26">
    <w:abstractNumId w:val="8"/>
  </w:num>
  <w:num w:numId="27">
    <w:abstractNumId w:val="30"/>
  </w:num>
  <w:num w:numId="28">
    <w:abstractNumId w:val="19"/>
  </w:num>
  <w:num w:numId="29">
    <w:abstractNumId w:val="31"/>
  </w:num>
  <w:num w:numId="30">
    <w:abstractNumId w:val="15"/>
  </w:num>
  <w:num w:numId="31">
    <w:abstractNumId w:val="32"/>
  </w:num>
  <w:num w:numId="32">
    <w:abstractNumId w:val="23"/>
  </w:num>
  <w:num w:numId="33">
    <w:abstractNumId w:val="9"/>
  </w:num>
  <w:num w:numId="34">
    <w:abstractNumId w:val="34"/>
  </w:num>
  <w:num w:numId="35">
    <w:abstractNumId w:val="17"/>
  </w:num>
  <w:num w:numId="36">
    <w:abstractNumId w:val="7"/>
  </w:num>
  <w:num w:numId="37">
    <w:abstractNumId w:val="20"/>
  </w:num>
  <w:num w:numId="38">
    <w:abstractNumId w:val="36"/>
  </w:num>
  <w:num w:numId="39">
    <w:abstractNumId w:val="7"/>
  </w:num>
  <w:num w:numId="40">
    <w:abstractNumId w:val="7"/>
  </w:num>
  <w:num w:numId="41">
    <w:abstractNumId w:val="18"/>
  </w:num>
  <w:num w:numId="42">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3B"/>
    <w:rsid w:val="0000351B"/>
    <w:rsid w:val="000049DF"/>
    <w:rsid w:val="000053CA"/>
    <w:rsid w:val="0000546E"/>
    <w:rsid w:val="0001166E"/>
    <w:rsid w:val="000125C8"/>
    <w:rsid w:val="000141CC"/>
    <w:rsid w:val="00022BA8"/>
    <w:rsid w:val="00026703"/>
    <w:rsid w:val="0003237C"/>
    <w:rsid w:val="00035388"/>
    <w:rsid w:val="00035ADF"/>
    <w:rsid w:val="000509A3"/>
    <w:rsid w:val="00054354"/>
    <w:rsid w:val="000746A5"/>
    <w:rsid w:val="00074A68"/>
    <w:rsid w:val="00077885"/>
    <w:rsid w:val="00080D42"/>
    <w:rsid w:val="000B0580"/>
    <w:rsid w:val="000B1CFD"/>
    <w:rsid w:val="000B562D"/>
    <w:rsid w:val="000D2FFD"/>
    <w:rsid w:val="000E365F"/>
    <w:rsid w:val="000F285C"/>
    <w:rsid w:val="000F3873"/>
    <w:rsid w:val="001068C7"/>
    <w:rsid w:val="0011373E"/>
    <w:rsid w:val="0011497B"/>
    <w:rsid w:val="00155293"/>
    <w:rsid w:val="00177A78"/>
    <w:rsid w:val="001834B7"/>
    <w:rsid w:val="00183C5D"/>
    <w:rsid w:val="00184742"/>
    <w:rsid w:val="0018508C"/>
    <w:rsid w:val="001A28F9"/>
    <w:rsid w:val="001A3377"/>
    <w:rsid w:val="001A3F60"/>
    <w:rsid w:val="001A76FF"/>
    <w:rsid w:val="001B1CA2"/>
    <w:rsid w:val="001B2790"/>
    <w:rsid w:val="001C3281"/>
    <w:rsid w:val="001C7BE0"/>
    <w:rsid w:val="001D0FF3"/>
    <w:rsid w:val="001D38F5"/>
    <w:rsid w:val="001D7044"/>
    <w:rsid w:val="001E2661"/>
    <w:rsid w:val="001E79F7"/>
    <w:rsid w:val="001E7B24"/>
    <w:rsid w:val="001F0698"/>
    <w:rsid w:val="001F37E0"/>
    <w:rsid w:val="001F501F"/>
    <w:rsid w:val="001F630B"/>
    <w:rsid w:val="002016D7"/>
    <w:rsid w:val="00204DEB"/>
    <w:rsid w:val="00205CF3"/>
    <w:rsid w:val="002103AE"/>
    <w:rsid w:val="00210BE8"/>
    <w:rsid w:val="00221F0A"/>
    <w:rsid w:val="0022253C"/>
    <w:rsid w:val="002277CC"/>
    <w:rsid w:val="00227DE8"/>
    <w:rsid w:val="0023004D"/>
    <w:rsid w:val="002377F2"/>
    <w:rsid w:val="00242C62"/>
    <w:rsid w:val="00244A3D"/>
    <w:rsid w:val="00262FC1"/>
    <w:rsid w:val="002725A9"/>
    <w:rsid w:val="00284A44"/>
    <w:rsid w:val="002A0929"/>
    <w:rsid w:val="002A37E6"/>
    <w:rsid w:val="002B0D6A"/>
    <w:rsid w:val="002B1BD2"/>
    <w:rsid w:val="002B20F3"/>
    <w:rsid w:val="002B291F"/>
    <w:rsid w:val="002B32D1"/>
    <w:rsid w:val="002C3E63"/>
    <w:rsid w:val="002C77FC"/>
    <w:rsid w:val="002D4EE2"/>
    <w:rsid w:val="002D6BF5"/>
    <w:rsid w:val="002D797A"/>
    <w:rsid w:val="002D7FA6"/>
    <w:rsid w:val="002F0018"/>
    <w:rsid w:val="002F279C"/>
    <w:rsid w:val="00320DCD"/>
    <w:rsid w:val="00325293"/>
    <w:rsid w:val="00333B7A"/>
    <w:rsid w:val="0033685E"/>
    <w:rsid w:val="00343BDA"/>
    <w:rsid w:val="003676BC"/>
    <w:rsid w:val="00385C02"/>
    <w:rsid w:val="003861E0"/>
    <w:rsid w:val="00392EAB"/>
    <w:rsid w:val="00395DA5"/>
    <w:rsid w:val="00396EEF"/>
    <w:rsid w:val="003B0554"/>
    <w:rsid w:val="003B3405"/>
    <w:rsid w:val="003C19B4"/>
    <w:rsid w:val="003C5045"/>
    <w:rsid w:val="003C6D3F"/>
    <w:rsid w:val="003C7D33"/>
    <w:rsid w:val="003D5E12"/>
    <w:rsid w:val="003E612F"/>
    <w:rsid w:val="003E6D20"/>
    <w:rsid w:val="003F463A"/>
    <w:rsid w:val="004003BF"/>
    <w:rsid w:val="0040380A"/>
    <w:rsid w:val="00411C0A"/>
    <w:rsid w:val="00413490"/>
    <w:rsid w:val="00417D4E"/>
    <w:rsid w:val="00422CB8"/>
    <w:rsid w:val="00426578"/>
    <w:rsid w:val="00440166"/>
    <w:rsid w:val="00451219"/>
    <w:rsid w:val="00456243"/>
    <w:rsid w:val="00457E58"/>
    <w:rsid w:val="00465D49"/>
    <w:rsid w:val="00467CC9"/>
    <w:rsid w:val="004758E7"/>
    <w:rsid w:val="00477001"/>
    <w:rsid w:val="00477441"/>
    <w:rsid w:val="004801B0"/>
    <w:rsid w:val="004835F9"/>
    <w:rsid w:val="0048411B"/>
    <w:rsid w:val="004917CC"/>
    <w:rsid w:val="004A0E21"/>
    <w:rsid w:val="004A1D36"/>
    <w:rsid w:val="004A2C28"/>
    <w:rsid w:val="004A3B86"/>
    <w:rsid w:val="004B001C"/>
    <w:rsid w:val="004D101F"/>
    <w:rsid w:val="004D414B"/>
    <w:rsid w:val="004D69B8"/>
    <w:rsid w:val="004E3483"/>
    <w:rsid w:val="004F4247"/>
    <w:rsid w:val="004F4727"/>
    <w:rsid w:val="004F5234"/>
    <w:rsid w:val="004F6493"/>
    <w:rsid w:val="00504845"/>
    <w:rsid w:val="00515B88"/>
    <w:rsid w:val="0052068E"/>
    <w:rsid w:val="005208A6"/>
    <w:rsid w:val="00521924"/>
    <w:rsid w:val="00531400"/>
    <w:rsid w:val="00536451"/>
    <w:rsid w:val="00545955"/>
    <w:rsid w:val="00572DBC"/>
    <w:rsid w:val="0057550E"/>
    <w:rsid w:val="0057671A"/>
    <w:rsid w:val="0058398A"/>
    <w:rsid w:val="00586001"/>
    <w:rsid w:val="00590874"/>
    <w:rsid w:val="00592E97"/>
    <w:rsid w:val="005A2B62"/>
    <w:rsid w:val="005A4352"/>
    <w:rsid w:val="005A5FC0"/>
    <w:rsid w:val="005A73EC"/>
    <w:rsid w:val="005B01C5"/>
    <w:rsid w:val="005B43F9"/>
    <w:rsid w:val="005C1CBD"/>
    <w:rsid w:val="005C1E00"/>
    <w:rsid w:val="005C3680"/>
    <w:rsid w:val="005C52FE"/>
    <w:rsid w:val="005D3428"/>
    <w:rsid w:val="005D5032"/>
    <w:rsid w:val="005E40CC"/>
    <w:rsid w:val="006042BA"/>
    <w:rsid w:val="00606ACD"/>
    <w:rsid w:val="00612A03"/>
    <w:rsid w:val="0061499E"/>
    <w:rsid w:val="006174FB"/>
    <w:rsid w:val="00620DBC"/>
    <w:rsid w:val="00642696"/>
    <w:rsid w:val="006453F5"/>
    <w:rsid w:val="006474BE"/>
    <w:rsid w:val="00653B04"/>
    <w:rsid w:val="00661497"/>
    <w:rsid w:val="00670A3F"/>
    <w:rsid w:val="006812BD"/>
    <w:rsid w:val="006837CA"/>
    <w:rsid w:val="00687A6D"/>
    <w:rsid w:val="00693B2A"/>
    <w:rsid w:val="006A207E"/>
    <w:rsid w:val="006A4825"/>
    <w:rsid w:val="006A5B25"/>
    <w:rsid w:val="006B3934"/>
    <w:rsid w:val="006C090D"/>
    <w:rsid w:val="006C4C25"/>
    <w:rsid w:val="006D0009"/>
    <w:rsid w:val="006D4C9E"/>
    <w:rsid w:val="006D621A"/>
    <w:rsid w:val="006E32D4"/>
    <w:rsid w:val="006E4F7F"/>
    <w:rsid w:val="006E50D0"/>
    <w:rsid w:val="006E55AD"/>
    <w:rsid w:val="006F1D21"/>
    <w:rsid w:val="006F21D1"/>
    <w:rsid w:val="006F78F8"/>
    <w:rsid w:val="00702084"/>
    <w:rsid w:val="00707D99"/>
    <w:rsid w:val="00713B03"/>
    <w:rsid w:val="00720A48"/>
    <w:rsid w:val="007244CD"/>
    <w:rsid w:val="0072589A"/>
    <w:rsid w:val="00726430"/>
    <w:rsid w:val="00732EBC"/>
    <w:rsid w:val="00737891"/>
    <w:rsid w:val="00746287"/>
    <w:rsid w:val="00746364"/>
    <w:rsid w:val="00747E40"/>
    <w:rsid w:val="007504F6"/>
    <w:rsid w:val="007514E6"/>
    <w:rsid w:val="00763C78"/>
    <w:rsid w:val="00765496"/>
    <w:rsid w:val="007703FC"/>
    <w:rsid w:val="00774384"/>
    <w:rsid w:val="00776ACB"/>
    <w:rsid w:val="007801CC"/>
    <w:rsid w:val="00780EB5"/>
    <w:rsid w:val="00781B8A"/>
    <w:rsid w:val="00782E8B"/>
    <w:rsid w:val="00790958"/>
    <w:rsid w:val="007931E0"/>
    <w:rsid w:val="007970E1"/>
    <w:rsid w:val="007A5B1A"/>
    <w:rsid w:val="007B0FA1"/>
    <w:rsid w:val="007B3B4F"/>
    <w:rsid w:val="007B3BCF"/>
    <w:rsid w:val="007D2EBD"/>
    <w:rsid w:val="007D5F78"/>
    <w:rsid w:val="007E06CC"/>
    <w:rsid w:val="007F0FED"/>
    <w:rsid w:val="007F510F"/>
    <w:rsid w:val="007F5706"/>
    <w:rsid w:val="007F7BB2"/>
    <w:rsid w:val="0081233B"/>
    <w:rsid w:val="00813F18"/>
    <w:rsid w:val="00820F28"/>
    <w:rsid w:val="00821EA5"/>
    <w:rsid w:val="00826518"/>
    <w:rsid w:val="00834EE8"/>
    <w:rsid w:val="00837911"/>
    <w:rsid w:val="00847B9C"/>
    <w:rsid w:val="00850FCD"/>
    <w:rsid w:val="00854D59"/>
    <w:rsid w:val="00862C77"/>
    <w:rsid w:val="008775E6"/>
    <w:rsid w:val="00891791"/>
    <w:rsid w:val="0089322A"/>
    <w:rsid w:val="00894707"/>
    <w:rsid w:val="00897178"/>
    <w:rsid w:val="00897677"/>
    <w:rsid w:val="008A3B74"/>
    <w:rsid w:val="008B5474"/>
    <w:rsid w:val="008B77C3"/>
    <w:rsid w:val="008C01E6"/>
    <w:rsid w:val="008C570C"/>
    <w:rsid w:val="008C5C67"/>
    <w:rsid w:val="008E51BF"/>
    <w:rsid w:val="008F2FF0"/>
    <w:rsid w:val="008F49E8"/>
    <w:rsid w:val="008F683F"/>
    <w:rsid w:val="0090033A"/>
    <w:rsid w:val="00903B6F"/>
    <w:rsid w:val="009145CB"/>
    <w:rsid w:val="00916FB8"/>
    <w:rsid w:val="00917404"/>
    <w:rsid w:val="0093017B"/>
    <w:rsid w:val="00930F18"/>
    <w:rsid w:val="0095265E"/>
    <w:rsid w:val="00964CFE"/>
    <w:rsid w:val="0098060E"/>
    <w:rsid w:val="00997885"/>
    <w:rsid w:val="009A2118"/>
    <w:rsid w:val="009A5021"/>
    <w:rsid w:val="009B1B23"/>
    <w:rsid w:val="009B2159"/>
    <w:rsid w:val="009B602E"/>
    <w:rsid w:val="009C5D95"/>
    <w:rsid w:val="009D65AB"/>
    <w:rsid w:val="009D6FF9"/>
    <w:rsid w:val="009F1085"/>
    <w:rsid w:val="009F3EF7"/>
    <w:rsid w:val="009F5F76"/>
    <w:rsid w:val="00A129E5"/>
    <w:rsid w:val="00A137C1"/>
    <w:rsid w:val="00A14939"/>
    <w:rsid w:val="00A17426"/>
    <w:rsid w:val="00A210CA"/>
    <w:rsid w:val="00A2618B"/>
    <w:rsid w:val="00A267C9"/>
    <w:rsid w:val="00A271C3"/>
    <w:rsid w:val="00A3421B"/>
    <w:rsid w:val="00A53DDA"/>
    <w:rsid w:val="00A57A03"/>
    <w:rsid w:val="00A60426"/>
    <w:rsid w:val="00A64679"/>
    <w:rsid w:val="00A7087C"/>
    <w:rsid w:val="00A87E68"/>
    <w:rsid w:val="00A953E5"/>
    <w:rsid w:val="00A96703"/>
    <w:rsid w:val="00AA0A07"/>
    <w:rsid w:val="00AA1966"/>
    <w:rsid w:val="00AA21FB"/>
    <w:rsid w:val="00AB0C94"/>
    <w:rsid w:val="00AB1324"/>
    <w:rsid w:val="00AC20EF"/>
    <w:rsid w:val="00AC5FCF"/>
    <w:rsid w:val="00AD3CE9"/>
    <w:rsid w:val="00AD5D7F"/>
    <w:rsid w:val="00AE44BC"/>
    <w:rsid w:val="00B031E1"/>
    <w:rsid w:val="00B05D05"/>
    <w:rsid w:val="00B06E03"/>
    <w:rsid w:val="00B12FB7"/>
    <w:rsid w:val="00B21950"/>
    <w:rsid w:val="00B225B6"/>
    <w:rsid w:val="00B24186"/>
    <w:rsid w:val="00B24F55"/>
    <w:rsid w:val="00B33058"/>
    <w:rsid w:val="00B3672F"/>
    <w:rsid w:val="00B37DA3"/>
    <w:rsid w:val="00B46605"/>
    <w:rsid w:val="00B46CA8"/>
    <w:rsid w:val="00B55D27"/>
    <w:rsid w:val="00B60471"/>
    <w:rsid w:val="00B6697C"/>
    <w:rsid w:val="00B71C12"/>
    <w:rsid w:val="00B81A33"/>
    <w:rsid w:val="00B84E83"/>
    <w:rsid w:val="00B86DCB"/>
    <w:rsid w:val="00B86EFA"/>
    <w:rsid w:val="00B90EFE"/>
    <w:rsid w:val="00B946C5"/>
    <w:rsid w:val="00BC4736"/>
    <w:rsid w:val="00BD0DB4"/>
    <w:rsid w:val="00BD1710"/>
    <w:rsid w:val="00BE05CB"/>
    <w:rsid w:val="00BF3E2E"/>
    <w:rsid w:val="00BF6E9E"/>
    <w:rsid w:val="00BF7F28"/>
    <w:rsid w:val="00C02251"/>
    <w:rsid w:val="00C11721"/>
    <w:rsid w:val="00C249C9"/>
    <w:rsid w:val="00C25E77"/>
    <w:rsid w:val="00C310C3"/>
    <w:rsid w:val="00C31FA6"/>
    <w:rsid w:val="00C346DA"/>
    <w:rsid w:val="00C44B9D"/>
    <w:rsid w:val="00C475DC"/>
    <w:rsid w:val="00C512C1"/>
    <w:rsid w:val="00C530B5"/>
    <w:rsid w:val="00C53F62"/>
    <w:rsid w:val="00C545BE"/>
    <w:rsid w:val="00C57AFF"/>
    <w:rsid w:val="00C60071"/>
    <w:rsid w:val="00C622A4"/>
    <w:rsid w:val="00C65D17"/>
    <w:rsid w:val="00C66A21"/>
    <w:rsid w:val="00C67D4A"/>
    <w:rsid w:val="00C83086"/>
    <w:rsid w:val="00C84EC0"/>
    <w:rsid w:val="00CA6805"/>
    <w:rsid w:val="00CB1649"/>
    <w:rsid w:val="00CB368D"/>
    <w:rsid w:val="00CB7311"/>
    <w:rsid w:val="00CE16E2"/>
    <w:rsid w:val="00CE1C72"/>
    <w:rsid w:val="00CE73B2"/>
    <w:rsid w:val="00CF2704"/>
    <w:rsid w:val="00CF4392"/>
    <w:rsid w:val="00CF6D8A"/>
    <w:rsid w:val="00D01BCE"/>
    <w:rsid w:val="00D041B7"/>
    <w:rsid w:val="00D07774"/>
    <w:rsid w:val="00D1169E"/>
    <w:rsid w:val="00D1412D"/>
    <w:rsid w:val="00D20B91"/>
    <w:rsid w:val="00D255DE"/>
    <w:rsid w:val="00D31AB1"/>
    <w:rsid w:val="00D338C6"/>
    <w:rsid w:val="00D375AF"/>
    <w:rsid w:val="00D45140"/>
    <w:rsid w:val="00D527D9"/>
    <w:rsid w:val="00D52E0C"/>
    <w:rsid w:val="00D548AC"/>
    <w:rsid w:val="00D55427"/>
    <w:rsid w:val="00D57655"/>
    <w:rsid w:val="00D71D9E"/>
    <w:rsid w:val="00D738D1"/>
    <w:rsid w:val="00D838FB"/>
    <w:rsid w:val="00D87E0E"/>
    <w:rsid w:val="00D919AB"/>
    <w:rsid w:val="00DA291C"/>
    <w:rsid w:val="00DB1042"/>
    <w:rsid w:val="00DB62D8"/>
    <w:rsid w:val="00DC527D"/>
    <w:rsid w:val="00DD5D1A"/>
    <w:rsid w:val="00DF1D56"/>
    <w:rsid w:val="00DF2123"/>
    <w:rsid w:val="00DF3795"/>
    <w:rsid w:val="00E01CB7"/>
    <w:rsid w:val="00E0313E"/>
    <w:rsid w:val="00E063F3"/>
    <w:rsid w:val="00E15A49"/>
    <w:rsid w:val="00E162DC"/>
    <w:rsid w:val="00E25944"/>
    <w:rsid w:val="00E3360B"/>
    <w:rsid w:val="00E4023D"/>
    <w:rsid w:val="00E423C4"/>
    <w:rsid w:val="00E4613C"/>
    <w:rsid w:val="00E50CEB"/>
    <w:rsid w:val="00E61289"/>
    <w:rsid w:val="00E64354"/>
    <w:rsid w:val="00E70394"/>
    <w:rsid w:val="00E72CC8"/>
    <w:rsid w:val="00E90C24"/>
    <w:rsid w:val="00E96076"/>
    <w:rsid w:val="00EB53BF"/>
    <w:rsid w:val="00EC4B13"/>
    <w:rsid w:val="00ED3282"/>
    <w:rsid w:val="00ED52D0"/>
    <w:rsid w:val="00EE0674"/>
    <w:rsid w:val="00EE585E"/>
    <w:rsid w:val="00EE59F6"/>
    <w:rsid w:val="00EE7522"/>
    <w:rsid w:val="00EF010D"/>
    <w:rsid w:val="00EF0C60"/>
    <w:rsid w:val="00EF205C"/>
    <w:rsid w:val="00EF7478"/>
    <w:rsid w:val="00F00574"/>
    <w:rsid w:val="00F02DED"/>
    <w:rsid w:val="00F136AF"/>
    <w:rsid w:val="00F13AC8"/>
    <w:rsid w:val="00F16174"/>
    <w:rsid w:val="00F236B5"/>
    <w:rsid w:val="00F25439"/>
    <w:rsid w:val="00F30D94"/>
    <w:rsid w:val="00F53409"/>
    <w:rsid w:val="00F57396"/>
    <w:rsid w:val="00F67C51"/>
    <w:rsid w:val="00F71FDB"/>
    <w:rsid w:val="00F87DFE"/>
    <w:rsid w:val="00F92BDD"/>
    <w:rsid w:val="00F92DCE"/>
    <w:rsid w:val="00F940CA"/>
    <w:rsid w:val="00F96A95"/>
    <w:rsid w:val="00FA1AEF"/>
    <w:rsid w:val="00FA2400"/>
    <w:rsid w:val="00FA583A"/>
    <w:rsid w:val="00FA5AF2"/>
    <w:rsid w:val="00FA6F69"/>
    <w:rsid w:val="00FB0406"/>
    <w:rsid w:val="00FB0C45"/>
    <w:rsid w:val="00FC1FBE"/>
    <w:rsid w:val="00FE2895"/>
    <w:rsid w:val="00FE4B27"/>
    <w:rsid w:val="00FF11B0"/>
    <w:rsid w:val="00FF33C9"/>
    <w:rsid w:val="00FF36BB"/>
    <w:rsid w:val="00FF551B"/>
    <w:rsid w:val="00FF7C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E23F8"/>
  <w15:chartTrackingRefBased/>
  <w15:docId w15:val="{353A3EFC-5984-4ED4-A473-82E1EFBF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lsdException w:name="Default Paragraph Font" w:locked="1"/>
    <w:lsdException w:name="Body Text" w:locked="1" w:qFormat="1"/>
    <w:lsdException w:name="Body Text Indent" w:locked="1"/>
    <w:lsdException w:name="Subtitle" w:locked="1"/>
    <w:lsdException w:name="Strong" w:locked="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F4247"/>
    <w:pPr>
      <w:spacing w:after="160" w:line="276" w:lineRule="auto"/>
      <w:ind w:left="360"/>
      <w:jc w:val="both"/>
    </w:pPr>
    <w:rPr>
      <w:rFonts w:ascii="Arial" w:eastAsia="Times New Roman" w:hAnsi="Arial" w:cs="Arial"/>
    </w:rPr>
  </w:style>
  <w:style w:type="paragraph" w:styleId="Heading1">
    <w:name w:val="heading 1"/>
    <w:basedOn w:val="BodyText"/>
    <w:next w:val="BodyText"/>
    <w:link w:val="Heading1Char"/>
    <w:qFormat/>
    <w:rsid w:val="00D31AB1"/>
    <w:pPr>
      <w:keepNext/>
      <w:numPr>
        <w:numId w:val="1"/>
      </w:numPr>
      <w:shd w:val="clear" w:color="auto" w:fill="F2F2F2"/>
      <w:spacing w:after="200" w:line="276" w:lineRule="auto"/>
      <w:ind w:left="0" w:firstLine="18"/>
      <w:jc w:val="center"/>
      <w:outlineLvl w:val="0"/>
    </w:pPr>
    <w:rPr>
      <w:rFonts w:ascii="Calibri" w:hAnsi="Calibri"/>
      <w:b/>
      <w:sz w:val="32"/>
      <w:szCs w:val="32"/>
    </w:rPr>
  </w:style>
  <w:style w:type="paragraph" w:styleId="Heading2">
    <w:name w:val="heading 2"/>
    <w:basedOn w:val="Normal"/>
    <w:next w:val="BodyText"/>
    <w:link w:val="Heading2Char"/>
    <w:qFormat/>
    <w:rsid w:val="00A3421B"/>
    <w:pPr>
      <w:numPr>
        <w:ilvl w:val="1"/>
        <w:numId w:val="1"/>
      </w:numPr>
      <w:pBdr>
        <w:bottom w:val="single" w:sz="6" w:space="1" w:color="auto"/>
      </w:pBdr>
      <w:shd w:val="clear" w:color="auto" w:fill="FFFFFF"/>
      <w:spacing w:before="400" w:after="120"/>
      <w:outlineLvl w:val="1"/>
    </w:pPr>
    <w:rPr>
      <w:rFonts w:ascii="Calibri" w:hAnsi="Calibri"/>
      <w:b/>
      <w:sz w:val="28"/>
      <w:szCs w:val="28"/>
    </w:rPr>
  </w:style>
  <w:style w:type="paragraph" w:styleId="Heading3">
    <w:name w:val="heading 3"/>
    <w:basedOn w:val="Normal"/>
    <w:next w:val="Normal"/>
    <w:link w:val="Heading3Char"/>
    <w:semiHidden/>
    <w:unhideWhenUsed/>
    <w:qFormat/>
    <w:locked/>
    <w:rsid w:val="00E01CB7"/>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locked/>
    <w:rsid w:val="00E01CB7"/>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locked/>
    <w:rsid w:val="00E01CB7"/>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locked/>
    <w:rsid w:val="00E01CB7"/>
    <w:pPr>
      <w:numPr>
        <w:ilvl w:val="5"/>
        <w:numId w:val="1"/>
      </w:numPr>
      <w:spacing w:before="240" w:after="60"/>
      <w:outlineLvl w:val="5"/>
    </w:pPr>
    <w:rPr>
      <w:rFonts w:ascii="Calibri" w:hAnsi="Calibri" w:cs="Times New Roman"/>
      <w:b/>
      <w:bCs/>
    </w:rPr>
  </w:style>
  <w:style w:type="paragraph" w:styleId="Heading7">
    <w:name w:val="heading 7"/>
    <w:basedOn w:val="Normal"/>
    <w:next w:val="Normal"/>
    <w:link w:val="Heading7Char"/>
    <w:semiHidden/>
    <w:unhideWhenUsed/>
    <w:qFormat/>
    <w:locked/>
    <w:rsid w:val="00E01CB7"/>
    <w:pPr>
      <w:numPr>
        <w:ilvl w:val="6"/>
        <w:numId w:val="1"/>
      </w:numPr>
      <w:spacing w:before="240" w:after="60"/>
      <w:outlineLvl w:val="6"/>
    </w:pPr>
    <w:rPr>
      <w:rFonts w:ascii="Calibri" w:hAnsi="Calibri" w:cs="Times New Roman"/>
      <w:sz w:val="24"/>
      <w:szCs w:val="24"/>
    </w:rPr>
  </w:style>
  <w:style w:type="paragraph" w:styleId="Heading8">
    <w:name w:val="heading 8"/>
    <w:basedOn w:val="Normal"/>
    <w:next w:val="Normal"/>
    <w:link w:val="Heading8Char"/>
    <w:semiHidden/>
    <w:unhideWhenUsed/>
    <w:qFormat/>
    <w:locked/>
    <w:rsid w:val="00E01CB7"/>
    <w:pPr>
      <w:numPr>
        <w:ilvl w:val="7"/>
        <w:numId w:val="1"/>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semiHidden/>
    <w:unhideWhenUsed/>
    <w:qFormat/>
    <w:locked/>
    <w:rsid w:val="00E01CB7"/>
    <w:pPr>
      <w:numPr>
        <w:ilvl w:val="8"/>
        <w:numId w:val="1"/>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31AB1"/>
    <w:rPr>
      <w:rFonts w:cs="Arial"/>
      <w:b/>
      <w:sz w:val="32"/>
      <w:szCs w:val="32"/>
      <w:shd w:val="clear" w:color="auto" w:fill="F2F2F2"/>
    </w:rPr>
  </w:style>
  <w:style w:type="character" w:customStyle="1" w:styleId="Heading2Char">
    <w:name w:val="Heading 2 Char"/>
    <w:link w:val="Heading2"/>
    <w:locked/>
    <w:rsid w:val="00A3421B"/>
    <w:rPr>
      <w:rFonts w:eastAsia="Times New Roman" w:cs="Arial"/>
      <w:b/>
      <w:sz w:val="28"/>
      <w:szCs w:val="28"/>
      <w:shd w:val="clear" w:color="auto" w:fill="FFFFFF"/>
    </w:rPr>
  </w:style>
  <w:style w:type="paragraph" w:styleId="BodyTextIndent">
    <w:name w:val="Body Text Indent"/>
    <w:basedOn w:val="BodyText"/>
    <w:link w:val="BodyTextIndentChar"/>
    <w:rsid w:val="00916FB8"/>
    <w:pPr>
      <w:tabs>
        <w:tab w:val="left" w:pos="360"/>
        <w:tab w:val="left" w:pos="720"/>
      </w:tabs>
      <w:spacing w:after="0"/>
      <w:ind w:left="720" w:hanging="360"/>
    </w:pPr>
  </w:style>
  <w:style w:type="character" w:customStyle="1" w:styleId="BodyTextIndentChar">
    <w:name w:val="Body Text Indent Char"/>
    <w:link w:val="BodyTextIndent"/>
    <w:locked/>
    <w:rsid w:val="00916FB8"/>
    <w:rPr>
      <w:rFonts w:ascii="Arial" w:hAnsi="Arial" w:cs="Times New Roman"/>
      <w:sz w:val="24"/>
      <w:szCs w:val="24"/>
    </w:rPr>
  </w:style>
  <w:style w:type="paragraph" w:styleId="BodyText">
    <w:name w:val="Body Text"/>
    <w:basedOn w:val="Normal"/>
    <w:link w:val="BodyTextChar"/>
    <w:qFormat/>
    <w:rsid w:val="00916FB8"/>
    <w:pPr>
      <w:autoSpaceDE w:val="0"/>
      <w:autoSpaceDN w:val="0"/>
      <w:adjustRightInd w:val="0"/>
      <w:spacing w:line="240" w:lineRule="auto"/>
    </w:pPr>
    <w:rPr>
      <w:rFonts w:eastAsia="Calibri"/>
      <w:szCs w:val="24"/>
    </w:rPr>
  </w:style>
  <w:style w:type="character" w:customStyle="1" w:styleId="BodyTextChar">
    <w:name w:val="Body Text Char"/>
    <w:link w:val="BodyText"/>
    <w:locked/>
    <w:rsid w:val="00916FB8"/>
    <w:rPr>
      <w:rFonts w:ascii="Arial" w:hAnsi="Arial" w:cs="Times New Roman"/>
      <w:sz w:val="24"/>
      <w:szCs w:val="24"/>
    </w:rPr>
  </w:style>
  <w:style w:type="paragraph" w:customStyle="1" w:styleId="BodyTextIndent1loose">
    <w:name w:val="Body Text Indent 1 loose"/>
    <w:basedOn w:val="BodyTextIndent"/>
    <w:next w:val="BodyText"/>
    <w:rsid w:val="00916FB8"/>
    <w:pPr>
      <w:spacing w:after="160"/>
    </w:pPr>
  </w:style>
  <w:style w:type="paragraph" w:customStyle="1" w:styleId="BodyTextIndent2loose">
    <w:name w:val="Body Text Indent 2 loose"/>
    <w:basedOn w:val="BodyTextIndent2"/>
    <w:rsid w:val="00916FB8"/>
    <w:pPr>
      <w:autoSpaceDE w:val="0"/>
      <w:autoSpaceDN w:val="0"/>
      <w:adjustRightInd w:val="0"/>
      <w:spacing w:after="160" w:line="240" w:lineRule="auto"/>
      <w:ind w:left="1080" w:right="1080" w:hanging="360"/>
    </w:pPr>
    <w:rPr>
      <w:rFonts w:eastAsia="Calibri"/>
      <w:szCs w:val="24"/>
    </w:rPr>
  </w:style>
  <w:style w:type="paragraph" w:styleId="BodyTextIndent2">
    <w:name w:val="Body Text Indent 2"/>
    <w:basedOn w:val="Normal"/>
    <w:link w:val="BodyTextIndent2Char"/>
    <w:semiHidden/>
    <w:rsid w:val="00916FB8"/>
    <w:pPr>
      <w:spacing w:after="120" w:line="480" w:lineRule="auto"/>
    </w:pPr>
  </w:style>
  <w:style w:type="character" w:customStyle="1" w:styleId="BodyTextIndent2Char">
    <w:name w:val="Body Text Indent 2 Char"/>
    <w:link w:val="BodyTextIndent2"/>
    <w:semiHidden/>
    <w:locked/>
    <w:rsid w:val="00916FB8"/>
    <w:rPr>
      <w:rFonts w:cs="Times New Roman"/>
    </w:rPr>
  </w:style>
  <w:style w:type="paragraph" w:styleId="Header">
    <w:name w:val="header"/>
    <w:basedOn w:val="Normal"/>
    <w:link w:val="HeaderChar"/>
    <w:rsid w:val="00C512C1"/>
    <w:pPr>
      <w:tabs>
        <w:tab w:val="center" w:pos="4680"/>
        <w:tab w:val="right" w:pos="9360"/>
      </w:tabs>
      <w:spacing w:after="0" w:line="240" w:lineRule="auto"/>
    </w:pPr>
  </w:style>
  <w:style w:type="character" w:customStyle="1" w:styleId="HeaderChar">
    <w:name w:val="Header Char"/>
    <w:link w:val="Header"/>
    <w:locked/>
    <w:rsid w:val="00C512C1"/>
    <w:rPr>
      <w:rFonts w:cs="Times New Roman"/>
    </w:rPr>
  </w:style>
  <w:style w:type="paragraph" w:styleId="Footer">
    <w:name w:val="footer"/>
    <w:basedOn w:val="Normal"/>
    <w:link w:val="FooterChar"/>
    <w:rsid w:val="00C512C1"/>
    <w:pPr>
      <w:tabs>
        <w:tab w:val="center" w:pos="4680"/>
        <w:tab w:val="right" w:pos="9360"/>
      </w:tabs>
      <w:spacing w:after="0" w:line="240" w:lineRule="auto"/>
    </w:pPr>
  </w:style>
  <w:style w:type="character" w:customStyle="1" w:styleId="FooterChar">
    <w:name w:val="Footer Char"/>
    <w:link w:val="Footer"/>
    <w:locked/>
    <w:rsid w:val="00C512C1"/>
    <w:rPr>
      <w:rFonts w:cs="Times New Roman"/>
    </w:rPr>
  </w:style>
  <w:style w:type="character" w:styleId="PageNumber">
    <w:name w:val="page number"/>
    <w:rsid w:val="00C512C1"/>
    <w:rPr>
      <w:rFonts w:ascii="Arial" w:hAnsi="Arial"/>
      <w:sz w:val="16"/>
    </w:rPr>
  </w:style>
  <w:style w:type="paragraph" w:styleId="BalloonText">
    <w:name w:val="Balloon Text"/>
    <w:basedOn w:val="Normal"/>
    <w:link w:val="BalloonTextChar"/>
    <w:semiHidden/>
    <w:rsid w:val="00C512C1"/>
    <w:pPr>
      <w:spacing w:after="0" w:line="240" w:lineRule="auto"/>
    </w:pPr>
    <w:rPr>
      <w:rFonts w:ascii="Tahoma" w:hAnsi="Tahoma" w:cs="Tahoma"/>
      <w:sz w:val="16"/>
      <w:szCs w:val="16"/>
    </w:rPr>
  </w:style>
  <w:style w:type="character" w:customStyle="1" w:styleId="BalloonTextChar">
    <w:name w:val="Balloon Text Char"/>
    <w:link w:val="BalloonText"/>
    <w:semiHidden/>
    <w:locked/>
    <w:rsid w:val="00C512C1"/>
    <w:rPr>
      <w:rFonts w:ascii="Tahoma" w:hAnsi="Tahoma" w:cs="Tahoma"/>
      <w:sz w:val="16"/>
      <w:szCs w:val="16"/>
    </w:rPr>
  </w:style>
  <w:style w:type="character" w:customStyle="1" w:styleId="Heading3Char">
    <w:name w:val="Heading 3 Char"/>
    <w:link w:val="Heading3"/>
    <w:semiHidden/>
    <w:rsid w:val="00E01CB7"/>
    <w:rPr>
      <w:rFonts w:ascii="Cambria" w:eastAsia="Times New Roman" w:hAnsi="Cambria"/>
      <w:b/>
      <w:bCs/>
      <w:sz w:val="26"/>
      <w:szCs w:val="26"/>
    </w:rPr>
  </w:style>
  <w:style w:type="character" w:customStyle="1" w:styleId="Heading4Char">
    <w:name w:val="Heading 4 Char"/>
    <w:link w:val="Heading4"/>
    <w:semiHidden/>
    <w:rsid w:val="00E01CB7"/>
    <w:rPr>
      <w:rFonts w:eastAsia="Times New Roman"/>
      <w:b/>
      <w:bCs/>
      <w:sz w:val="28"/>
      <w:szCs w:val="28"/>
    </w:rPr>
  </w:style>
  <w:style w:type="character" w:customStyle="1" w:styleId="Heading5Char">
    <w:name w:val="Heading 5 Char"/>
    <w:link w:val="Heading5"/>
    <w:semiHidden/>
    <w:rsid w:val="00E01CB7"/>
    <w:rPr>
      <w:rFonts w:eastAsia="Times New Roman"/>
      <w:b/>
      <w:bCs/>
      <w:i/>
      <w:iCs/>
      <w:sz w:val="26"/>
      <w:szCs w:val="26"/>
    </w:rPr>
  </w:style>
  <w:style w:type="character" w:customStyle="1" w:styleId="Heading6Char">
    <w:name w:val="Heading 6 Char"/>
    <w:link w:val="Heading6"/>
    <w:semiHidden/>
    <w:rsid w:val="00E01CB7"/>
    <w:rPr>
      <w:rFonts w:eastAsia="Times New Roman"/>
      <w:b/>
      <w:bCs/>
    </w:rPr>
  </w:style>
  <w:style w:type="character" w:customStyle="1" w:styleId="Heading7Char">
    <w:name w:val="Heading 7 Char"/>
    <w:link w:val="Heading7"/>
    <w:semiHidden/>
    <w:rsid w:val="00E01CB7"/>
    <w:rPr>
      <w:rFonts w:eastAsia="Times New Roman"/>
      <w:sz w:val="24"/>
      <w:szCs w:val="24"/>
    </w:rPr>
  </w:style>
  <w:style w:type="character" w:customStyle="1" w:styleId="Heading8Char">
    <w:name w:val="Heading 8 Char"/>
    <w:link w:val="Heading8"/>
    <w:semiHidden/>
    <w:rsid w:val="00E01CB7"/>
    <w:rPr>
      <w:rFonts w:eastAsia="Times New Roman"/>
      <w:i/>
      <w:iCs/>
      <w:sz w:val="24"/>
      <w:szCs w:val="24"/>
    </w:rPr>
  </w:style>
  <w:style w:type="character" w:customStyle="1" w:styleId="Heading9Char">
    <w:name w:val="Heading 9 Char"/>
    <w:link w:val="Heading9"/>
    <w:semiHidden/>
    <w:rsid w:val="00E01CB7"/>
    <w:rPr>
      <w:rFonts w:ascii="Cambria" w:eastAsia="Times New Roman" w:hAnsi="Cambria"/>
    </w:rPr>
  </w:style>
  <w:style w:type="character" w:styleId="CommentReference">
    <w:name w:val="annotation reference"/>
    <w:rsid w:val="00262FC1"/>
    <w:rPr>
      <w:rFonts w:cs="Times New Roman"/>
      <w:sz w:val="16"/>
      <w:szCs w:val="16"/>
    </w:rPr>
  </w:style>
  <w:style w:type="paragraph" w:styleId="CommentText">
    <w:name w:val="annotation text"/>
    <w:basedOn w:val="Normal"/>
    <w:link w:val="CommentTextChar"/>
    <w:rsid w:val="00262FC1"/>
    <w:pPr>
      <w:autoSpaceDE w:val="0"/>
      <w:autoSpaceDN w:val="0"/>
      <w:adjustRightInd w:val="0"/>
      <w:spacing w:line="240" w:lineRule="auto"/>
    </w:pPr>
    <w:rPr>
      <w:lang w:val="x-none" w:eastAsia="x-none"/>
    </w:rPr>
  </w:style>
  <w:style w:type="character" w:customStyle="1" w:styleId="CommentTextChar">
    <w:name w:val="Comment Text Char"/>
    <w:link w:val="CommentText"/>
    <w:rsid w:val="00262FC1"/>
    <w:rPr>
      <w:rFonts w:ascii="Arial" w:eastAsia="Times New Roman" w:hAnsi="Arial"/>
      <w:lang w:val="x-none" w:eastAsia="x-none"/>
    </w:rPr>
  </w:style>
  <w:style w:type="paragraph" w:customStyle="1" w:styleId="Bullets">
    <w:name w:val="Bullets"/>
    <w:basedOn w:val="BodyTextIndent"/>
    <w:link w:val="BulletsChar"/>
    <w:qFormat/>
    <w:rsid w:val="00521924"/>
    <w:pPr>
      <w:numPr>
        <w:numId w:val="4"/>
      </w:numPr>
      <w:spacing w:before="120" w:after="120"/>
    </w:pPr>
  </w:style>
  <w:style w:type="paragraph" w:customStyle="1" w:styleId="Indented">
    <w:name w:val="Indented"/>
    <w:basedOn w:val="Normal"/>
    <w:link w:val="IndentedChar"/>
    <w:qFormat/>
    <w:rsid w:val="00521924"/>
  </w:style>
  <w:style w:type="character" w:customStyle="1" w:styleId="BulletsChar">
    <w:name w:val="Bullets Char"/>
    <w:link w:val="Bullets"/>
    <w:rsid w:val="00521924"/>
    <w:rPr>
      <w:rFonts w:ascii="Arial" w:hAnsi="Arial" w:cs="Arial"/>
      <w:sz w:val="24"/>
      <w:szCs w:val="24"/>
    </w:rPr>
  </w:style>
  <w:style w:type="paragraph" w:customStyle="1" w:styleId="Numbers">
    <w:name w:val="Numbers"/>
    <w:basedOn w:val="Normal"/>
    <w:link w:val="NumbersChar"/>
    <w:qFormat/>
    <w:rsid w:val="00521924"/>
    <w:pPr>
      <w:numPr>
        <w:numId w:val="5"/>
      </w:numPr>
    </w:pPr>
  </w:style>
  <w:style w:type="character" w:customStyle="1" w:styleId="IndentedChar">
    <w:name w:val="Indented Char"/>
    <w:link w:val="Indented"/>
    <w:rsid w:val="00521924"/>
    <w:rPr>
      <w:rFonts w:ascii="Arial" w:eastAsia="Times New Roman" w:hAnsi="Arial" w:cs="Arial"/>
    </w:rPr>
  </w:style>
  <w:style w:type="character" w:styleId="Emphasis">
    <w:name w:val="Emphasis"/>
    <w:qFormat/>
    <w:locked/>
    <w:rsid w:val="00521924"/>
    <w:rPr>
      <w:b/>
      <w:bCs/>
    </w:rPr>
  </w:style>
  <w:style w:type="character" w:customStyle="1" w:styleId="NumbersChar">
    <w:name w:val="Numbers Char"/>
    <w:link w:val="Numbers"/>
    <w:rsid w:val="00521924"/>
    <w:rPr>
      <w:rFonts w:ascii="Arial" w:eastAsia="Times New Roman" w:hAnsi="Arial" w:cs="Arial"/>
    </w:rPr>
  </w:style>
  <w:style w:type="paragraph" w:customStyle="1" w:styleId="EmphasisItalic">
    <w:name w:val="Emphasis Italic"/>
    <w:basedOn w:val="BodyText"/>
    <w:link w:val="EmphasisItalicChar"/>
    <w:qFormat/>
    <w:rsid w:val="00521924"/>
    <w:rPr>
      <w:b/>
      <w:bCs/>
      <w:i/>
      <w:iCs/>
    </w:rPr>
  </w:style>
  <w:style w:type="character" w:customStyle="1" w:styleId="EmphasisItalicChar">
    <w:name w:val="Emphasis Italic Char"/>
    <w:link w:val="EmphasisItalic"/>
    <w:rsid w:val="00521924"/>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9123">
      <w:bodyDiv w:val="1"/>
      <w:marLeft w:val="0"/>
      <w:marRight w:val="0"/>
      <w:marTop w:val="0"/>
      <w:marBottom w:val="0"/>
      <w:divBdr>
        <w:top w:val="none" w:sz="0" w:space="0" w:color="auto"/>
        <w:left w:val="none" w:sz="0" w:space="0" w:color="auto"/>
        <w:bottom w:val="none" w:sz="0" w:space="0" w:color="auto"/>
        <w:right w:val="none" w:sz="0" w:space="0" w:color="auto"/>
      </w:divBdr>
      <w:divsChild>
        <w:div w:id="1538883583">
          <w:marLeft w:val="0"/>
          <w:marRight w:val="0"/>
          <w:marTop w:val="0"/>
          <w:marBottom w:val="0"/>
          <w:divBdr>
            <w:top w:val="none" w:sz="0" w:space="0" w:color="auto"/>
            <w:left w:val="none" w:sz="0" w:space="0" w:color="auto"/>
            <w:bottom w:val="none" w:sz="0" w:space="0" w:color="auto"/>
            <w:right w:val="none" w:sz="0" w:space="0" w:color="auto"/>
          </w:divBdr>
        </w:div>
        <w:div w:id="2064981210">
          <w:marLeft w:val="0"/>
          <w:marRight w:val="0"/>
          <w:marTop w:val="0"/>
          <w:marBottom w:val="0"/>
          <w:divBdr>
            <w:top w:val="none" w:sz="0" w:space="0" w:color="auto"/>
            <w:left w:val="none" w:sz="0" w:space="0" w:color="auto"/>
            <w:bottom w:val="none" w:sz="0" w:space="0" w:color="auto"/>
            <w:right w:val="none" w:sz="0" w:space="0" w:color="auto"/>
          </w:divBdr>
        </w:div>
        <w:div w:id="175697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uelfer.TEKTONE\Desktop\A&amp;E_Spec_work\A&amp;E_Spec_Tek-Template_04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53F7D-A246-854A-8A42-78154774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C:\Users\dduelfer.TEKTONE\Desktop\A&amp;E_Spec_work\A&amp;E_Spec_Tek-Template_040517.dotx</Template>
  <TotalTime>5</TotalTime>
  <Pages>16</Pages>
  <Words>5981</Words>
  <Characters>34098</Characters>
  <Application>Microsoft Macintosh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Part 1—Engineers’ Specification</vt:lpstr>
    </vt:vector>
  </TitlesOfParts>
  <Company>Windows User</Company>
  <LinksUpToDate>false</LinksUpToDate>
  <CharactersWithSpaces>40000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1—Engineers’ Specification</dc:title>
  <dc:subject/>
  <dc:creator>David Duelfer</dc:creator>
  <cp:keywords/>
  <cp:lastModifiedBy>Lisa Fisher</cp:lastModifiedBy>
  <cp:revision>4</cp:revision>
  <cp:lastPrinted>2016-11-16T20:50:00Z</cp:lastPrinted>
  <dcterms:created xsi:type="dcterms:W3CDTF">2017-08-24T18:52:00Z</dcterms:created>
  <dcterms:modified xsi:type="dcterms:W3CDTF">2017-08-29T14:14:00Z</dcterms:modified>
</cp:coreProperties>
</file>